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FA81" w14:textId="77777777" w:rsidR="00485CAC" w:rsidRDefault="00485CAC" w:rsidP="00485CAC">
      <w:pPr>
        <w:outlineLvl w:val="1"/>
        <w:rPr>
          <w:rFonts w:ascii="Times New Roman" w:eastAsia="Times New Roman" w:hAnsi="Times New Roman" w:cs="Times New Roman"/>
          <w:kern w:val="0"/>
        </w:rPr>
      </w:pPr>
      <w:r>
        <w:rPr>
          <w:rFonts w:ascii="Times New Roman" w:eastAsia="Times New Roman" w:hAnsi="Times New Roman" w:cs="Times New Roman"/>
          <w:kern w:val="0"/>
        </w:rPr>
        <w:t>Via Electronic Submission</w:t>
      </w:r>
    </w:p>
    <w:p w14:paraId="21ED2485" w14:textId="77777777" w:rsidR="00485CAC" w:rsidRDefault="00485CAC" w:rsidP="00485CAC">
      <w:pPr>
        <w:outlineLvl w:val="1"/>
        <w:rPr>
          <w:rFonts w:ascii="Times New Roman" w:eastAsia="Times New Roman" w:hAnsi="Times New Roman" w:cs="Times New Roman"/>
          <w:kern w:val="0"/>
        </w:rPr>
      </w:pPr>
      <w:r w:rsidRPr="00EE5161">
        <w:rPr>
          <w:rFonts w:ascii="Times New Roman" w:eastAsia="Times New Roman" w:hAnsi="Times New Roman" w:cs="Times New Roman"/>
          <w:kern w:val="0"/>
          <w:highlight w:val="yellow"/>
        </w:rPr>
        <w:t>[INSERT MAC CONTACT INFORMATION]</w:t>
      </w:r>
    </w:p>
    <w:p w14:paraId="219ECD3F" w14:textId="77777777" w:rsidR="00485CAC" w:rsidRPr="007B1516" w:rsidRDefault="00485CAC" w:rsidP="00485CAC">
      <w:pPr>
        <w:outlineLvl w:val="1"/>
        <w:rPr>
          <w:rFonts w:ascii="Times New Roman" w:eastAsia="Times New Roman" w:hAnsi="Times New Roman" w:cs="Times New Roman"/>
          <w:kern w:val="0"/>
        </w:rPr>
      </w:pPr>
      <w:r>
        <w:rPr>
          <w:rFonts w:ascii="Times New Roman" w:eastAsia="Times New Roman" w:hAnsi="Times New Roman" w:cs="Times New Roman"/>
          <w:kern w:val="0"/>
        </w:rPr>
        <w:t xml:space="preserve">Re: </w:t>
      </w:r>
      <w:r w:rsidRPr="00274502">
        <w:rPr>
          <w:rFonts w:ascii="Times New Roman" w:eastAsia="Times New Roman" w:hAnsi="Times New Roman" w:cs="Times New Roman"/>
          <w:kern w:val="0"/>
        </w:rPr>
        <w:t xml:space="preserve">Public Comment for Proposed LCD - Botulinum Toxin Injections </w:t>
      </w:r>
      <w:r w:rsidRPr="00EE5161">
        <w:rPr>
          <w:rFonts w:ascii="Times New Roman" w:eastAsia="Times New Roman" w:hAnsi="Times New Roman" w:cs="Times New Roman"/>
          <w:kern w:val="0"/>
          <w:highlight w:val="yellow"/>
        </w:rPr>
        <w:t>(DL#####),</w:t>
      </w:r>
      <w:r>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 xml:space="preserve"> </w:t>
      </w:r>
      <w:proofErr w:type="spellStart"/>
      <w:r w:rsidRPr="007B1516">
        <w:rPr>
          <w:rFonts w:ascii="Times New Roman" w:eastAsia="Times New Roman" w:hAnsi="Times New Roman" w:cs="Times New Roman"/>
          <w:kern w:val="0"/>
        </w:rPr>
        <w:t>OnabotulinumtoxinA</w:t>
      </w:r>
      <w:proofErr w:type="spellEnd"/>
      <w:r w:rsidRPr="007B1516">
        <w:rPr>
          <w:rFonts w:ascii="Times New Roman" w:eastAsia="Times New Roman" w:hAnsi="Times New Roman" w:cs="Times New Roman"/>
          <w:kern w:val="0"/>
        </w:rPr>
        <w:t xml:space="preserve">  for Overactive Bladder</w:t>
      </w:r>
    </w:p>
    <w:p w14:paraId="6434B5F0" w14:textId="77777777" w:rsidR="00485CAC" w:rsidRPr="007B1516" w:rsidRDefault="00485CAC" w:rsidP="00485CAC">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Dear</w:t>
      </w:r>
      <w:r>
        <w:rPr>
          <w:rFonts w:ascii="Times New Roman" w:eastAsia="Times New Roman" w:hAnsi="Times New Roman" w:cs="Times New Roman"/>
          <w:kern w:val="0"/>
        </w:rPr>
        <w:t xml:space="preserve"> Contract Medical Director(s)</w:t>
      </w:r>
      <w:r w:rsidRPr="007B1516">
        <w:rPr>
          <w:rFonts w:ascii="Times New Roman" w:eastAsia="Times New Roman" w:hAnsi="Times New Roman" w:cs="Times New Roman"/>
          <w:kern w:val="0"/>
        </w:rPr>
        <w:t>:</w:t>
      </w:r>
    </w:p>
    <w:p w14:paraId="5534A00A" w14:textId="77777777" w:rsidR="00485CAC" w:rsidRPr="007B1516" w:rsidRDefault="00485CAC" w:rsidP="00485CAC">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I am writing to express serious concerns regarding the recently implemented Local Coverage Determination (LCD) requirements for </w:t>
      </w:r>
      <w:proofErr w:type="spellStart"/>
      <w:r w:rsidRPr="007B1516">
        <w:rPr>
          <w:rFonts w:ascii="Times New Roman" w:eastAsia="Times New Roman" w:hAnsi="Times New Roman" w:cs="Times New Roman"/>
          <w:kern w:val="0"/>
        </w:rPr>
        <w:t>onabotulinumtoxinA</w:t>
      </w:r>
      <w:proofErr w:type="spellEnd"/>
      <w:r w:rsidRPr="007B1516">
        <w:rPr>
          <w:rFonts w:ascii="Times New Roman" w:eastAsia="Times New Roman" w:hAnsi="Times New Roman" w:cs="Times New Roman"/>
          <w:kern w:val="0"/>
        </w:rPr>
        <w:t xml:space="preserve"> (Botox) in the treatment of overactive bladder. These requirements impose significant barriers to evidence-based care that will adversely affect Medicare beneficiaries and create substantial administrative burdens on physician practices. I respectfully request reconsideration of these policies based on the following clinical and practical concerns.</w:t>
      </w:r>
    </w:p>
    <w:p w14:paraId="0C38C79F" w14:textId="4D0A3559" w:rsidR="00AB0E02" w:rsidRPr="007B1516" w:rsidRDefault="00AB0E02" w:rsidP="00AB0E02">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Prohibition of Dose Escalation</w:t>
      </w:r>
      <w:r w:rsidR="0083116B">
        <w:rPr>
          <w:rFonts w:ascii="Times New Roman" w:eastAsia="Times New Roman" w:hAnsi="Times New Roman" w:cs="Times New Roman"/>
          <w:b/>
          <w:bCs/>
          <w:kern w:val="0"/>
        </w:rPr>
        <w:t xml:space="preserve"> for Idiopathic OAB</w:t>
      </w:r>
    </w:p>
    <w:p w14:paraId="3BEC0887" w14:textId="6495FA2F" w:rsidR="00C22F53" w:rsidRPr="007B1516" w:rsidRDefault="00AB0E02" w:rsidP="00AB0E02">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The LCD's restriction on dose escalation contradicts established clinical evidence supporting individualized dosing strategies. Dose-ranging trials have demonstrated that while 100 units is an appropriate starting dose, </w:t>
      </w:r>
      <w:r w:rsidR="0030647C">
        <w:rPr>
          <w:rFonts w:ascii="Times New Roman" w:eastAsia="Times New Roman" w:hAnsi="Times New Roman" w:cs="Times New Roman"/>
          <w:kern w:val="0"/>
        </w:rPr>
        <w:t>many</w:t>
      </w:r>
      <w:r w:rsidRPr="007B1516">
        <w:rPr>
          <w:rFonts w:ascii="Times New Roman" w:eastAsia="Times New Roman" w:hAnsi="Times New Roman" w:cs="Times New Roman"/>
          <w:kern w:val="0"/>
        </w:rPr>
        <w:t xml:space="preserve"> patients require higher doses for optimal symptom control. A randomized dose-ranging trial showed that doses of 150-200 units provided longer therapeutic duration (5.5-6.7 months) compared to 100 units (3.5 months).  Multiple systematic reviews confirm that increasing the dose from 100 to 200 units results in statistically better symptom control in </w:t>
      </w:r>
      <w:r w:rsidR="00B3681A">
        <w:rPr>
          <w:rFonts w:ascii="Times New Roman" w:eastAsia="Times New Roman" w:hAnsi="Times New Roman" w:cs="Times New Roman"/>
          <w:kern w:val="0"/>
        </w:rPr>
        <w:t xml:space="preserve">idiopathic OAB </w:t>
      </w:r>
      <w:r w:rsidRPr="007B1516">
        <w:rPr>
          <w:rFonts w:ascii="Times New Roman" w:eastAsia="Times New Roman" w:hAnsi="Times New Roman" w:cs="Times New Roman"/>
          <w:kern w:val="0"/>
        </w:rPr>
        <w:t>patients who do not respond adequately to initial treatment. For patients recalcitrant to initial injections, dose escalation represents a reasonable next step before considering more invasive alternatives such as sacral neuromodulation, urinary diversion, or bladder augmentation. Prohibiting dose escalation forces patients toward these more invasive and costly procedures or leaves them with inadequately controlled symptoms</w:t>
      </w:r>
      <w:r w:rsidR="00AD2A08">
        <w:rPr>
          <w:rFonts w:ascii="Times New Roman" w:eastAsia="Times New Roman" w:hAnsi="Times New Roman" w:cs="Times New Roman"/>
          <w:kern w:val="0"/>
        </w:rPr>
        <w:t xml:space="preserve">  Therefore, d</w:t>
      </w:r>
      <w:r w:rsidR="00FC5F12">
        <w:rPr>
          <w:rFonts w:ascii="Times New Roman" w:eastAsia="Times New Roman" w:hAnsi="Times New Roman" w:cs="Times New Roman"/>
          <w:kern w:val="0"/>
        </w:rPr>
        <w:t xml:space="preserve">ose escalation </w:t>
      </w:r>
      <w:r w:rsidR="001715A0">
        <w:rPr>
          <w:rFonts w:ascii="Times New Roman" w:eastAsia="Times New Roman" w:hAnsi="Times New Roman" w:cs="Times New Roman"/>
          <w:kern w:val="0"/>
        </w:rPr>
        <w:t xml:space="preserve">of </w:t>
      </w:r>
      <w:r w:rsidR="00536459">
        <w:rPr>
          <w:rFonts w:ascii="Times New Roman" w:eastAsia="Times New Roman" w:hAnsi="Times New Roman" w:cs="Times New Roman"/>
          <w:kern w:val="0"/>
        </w:rPr>
        <w:t>Botox</w:t>
      </w:r>
      <w:r w:rsidR="001715A0">
        <w:rPr>
          <w:rFonts w:ascii="Times New Roman" w:eastAsia="Times New Roman" w:hAnsi="Times New Roman" w:cs="Times New Roman"/>
          <w:kern w:val="0"/>
        </w:rPr>
        <w:t xml:space="preserve"> </w:t>
      </w:r>
      <w:r w:rsidR="00FC5F12">
        <w:rPr>
          <w:rFonts w:ascii="Times New Roman" w:eastAsia="Times New Roman" w:hAnsi="Times New Roman" w:cs="Times New Roman"/>
          <w:kern w:val="0"/>
        </w:rPr>
        <w:t>from 100 to 200</w:t>
      </w:r>
      <w:r w:rsidR="0083116B">
        <w:rPr>
          <w:rFonts w:ascii="Times New Roman" w:eastAsia="Times New Roman" w:hAnsi="Times New Roman" w:cs="Times New Roman"/>
          <w:kern w:val="0"/>
        </w:rPr>
        <w:t xml:space="preserve"> units is recommended in the</w:t>
      </w:r>
      <w:r w:rsidR="001715A0">
        <w:rPr>
          <w:rFonts w:ascii="Times New Roman" w:eastAsia="Times New Roman" w:hAnsi="Times New Roman" w:cs="Times New Roman"/>
          <w:kern w:val="0"/>
        </w:rPr>
        <w:t xml:space="preserve"> </w:t>
      </w:r>
      <w:r w:rsidR="00336747">
        <w:rPr>
          <w:rFonts w:ascii="Times New Roman" w:eastAsia="Times New Roman" w:hAnsi="Times New Roman" w:cs="Times New Roman"/>
          <w:kern w:val="0"/>
        </w:rPr>
        <w:t xml:space="preserve">established </w:t>
      </w:r>
      <w:r w:rsidR="00C61711">
        <w:rPr>
          <w:rFonts w:ascii="Times New Roman" w:eastAsia="Times New Roman" w:hAnsi="Times New Roman" w:cs="Times New Roman"/>
          <w:kern w:val="0"/>
        </w:rPr>
        <w:t>American Urological Association (</w:t>
      </w:r>
      <w:r w:rsidR="00594890">
        <w:rPr>
          <w:rFonts w:ascii="Times New Roman" w:eastAsia="Times New Roman" w:hAnsi="Times New Roman" w:cs="Times New Roman"/>
          <w:kern w:val="0"/>
        </w:rPr>
        <w:t>AUA</w:t>
      </w:r>
      <w:r w:rsidR="00C61711">
        <w:rPr>
          <w:rFonts w:ascii="Times New Roman" w:eastAsia="Times New Roman" w:hAnsi="Times New Roman" w:cs="Times New Roman"/>
          <w:kern w:val="0"/>
        </w:rPr>
        <w:t>)</w:t>
      </w:r>
      <w:r w:rsidR="00594890">
        <w:rPr>
          <w:rFonts w:ascii="Times New Roman" w:eastAsia="Times New Roman" w:hAnsi="Times New Roman" w:cs="Times New Roman"/>
          <w:kern w:val="0"/>
        </w:rPr>
        <w:t>/</w:t>
      </w:r>
      <w:r w:rsidR="001715A0">
        <w:rPr>
          <w:rFonts w:ascii="Times New Roman" w:eastAsia="Times New Roman" w:hAnsi="Times New Roman" w:cs="Times New Roman"/>
          <w:kern w:val="0"/>
        </w:rPr>
        <w:t>SUFU</w:t>
      </w:r>
      <w:r w:rsidR="0083116B">
        <w:rPr>
          <w:rFonts w:ascii="Times New Roman" w:eastAsia="Times New Roman" w:hAnsi="Times New Roman" w:cs="Times New Roman"/>
          <w:kern w:val="0"/>
        </w:rPr>
        <w:t xml:space="preserve"> peer-reviewed guideline</w:t>
      </w:r>
      <w:r w:rsidR="001715A0">
        <w:rPr>
          <w:rFonts w:ascii="Times New Roman" w:eastAsia="Times New Roman" w:hAnsi="Times New Roman" w:cs="Times New Roman"/>
          <w:kern w:val="0"/>
        </w:rPr>
        <w:t xml:space="preserve"> on OAB management for patients without adequate response to the 100 U dose.</w:t>
      </w:r>
      <w:r w:rsidR="00CD0008">
        <w:rPr>
          <w:rFonts w:ascii="Times New Roman" w:eastAsia="Times New Roman" w:hAnsi="Times New Roman" w:cs="Times New Roman"/>
          <w:kern w:val="0"/>
        </w:rPr>
        <w:t xml:space="preserve"> Market research </w:t>
      </w:r>
      <w:r w:rsidR="002356E3">
        <w:rPr>
          <w:rFonts w:ascii="Times New Roman" w:eastAsia="Times New Roman" w:hAnsi="Times New Roman" w:cs="Times New Roman"/>
          <w:kern w:val="0"/>
        </w:rPr>
        <w:t xml:space="preserve">also </w:t>
      </w:r>
      <w:r w:rsidR="00CD0008">
        <w:rPr>
          <w:rFonts w:ascii="Times New Roman" w:eastAsia="Times New Roman" w:hAnsi="Times New Roman" w:cs="Times New Roman"/>
          <w:kern w:val="0"/>
        </w:rPr>
        <w:t xml:space="preserve">demonstrates that </w:t>
      </w:r>
      <w:r w:rsidR="00DB3647">
        <w:rPr>
          <w:rFonts w:ascii="Times New Roman" w:eastAsia="Times New Roman" w:hAnsi="Times New Roman" w:cs="Times New Roman"/>
          <w:kern w:val="0"/>
        </w:rPr>
        <w:t xml:space="preserve">almost 25% of </w:t>
      </w:r>
      <w:r w:rsidR="00833973">
        <w:rPr>
          <w:rFonts w:ascii="Times New Roman" w:eastAsia="Times New Roman" w:hAnsi="Times New Roman" w:cs="Times New Roman"/>
          <w:kern w:val="0"/>
        </w:rPr>
        <w:t>providers are using greater tha</w:t>
      </w:r>
      <w:r w:rsidR="0054585F">
        <w:rPr>
          <w:rFonts w:ascii="Times New Roman" w:eastAsia="Times New Roman" w:hAnsi="Times New Roman" w:cs="Times New Roman"/>
          <w:kern w:val="0"/>
        </w:rPr>
        <w:t>n</w:t>
      </w:r>
      <w:r w:rsidR="00833973">
        <w:rPr>
          <w:rFonts w:ascii="Times New Roman" w:eastAsia="Times New Roman" w:hAnsi="Times New Roman" w:cs="Times New Roman"/>
          <w:kern w:val="0"/>
        </w:rPr>
        <w:t xml:space="preserve"> 100U to manage </w:t>
      </w:r>
      <w:r w:rsidR="0054585F">
        <w:rPr>
          <w:rFonts w:ascii="Times New Roman" w:eastAsia="Times New Roman" w:hAnsi="Times New Roman" w:cs="Times New Roman"/>
          <w:kern w:val="0"/>
        </w:rPr>
        <w:t xml:space="preserve">idiopathic </w:t>
      </w:r>
      <w:r w:rsidR="00833973">
        <w:rPr>
          <w:rFonts w:ascii="Times New Roman" w:eastAsia="Times New Roman" w:hAnsi="Times New Roman" w:cs="Times New Roman"/>
          <w:kern w:val="0"/>
        </w:rPr>
        <w:t>OAB.</w:t>
      </w:r>
    </w:p>
    <w:p w14:paraId="10EE05C7" w14:textId="2D9F2C5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Mandatory Anticholinergic and Beta-3 Agonist Trial Requirements</w:t>
      </w:r>
    </w:p>
    <w:p w14:paraId="16606F7F"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The requirement to trial anticholinergic medications or beta-3 agonists prior to initiating Botox therapy contradicts mounting evidence regarding the safety risks and accessibility challenges of these medications in the Medicare population.</w:t>
      </w:r>
    </w:p>
    <w:p w14:paraId="0CA22A90" w14:textId="20EC0708"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Anticholinergic medications pose well-documented dementia risks in older adults. A large</w:t>
      </w:r>
      <w:r w:rsidR="007E71C3">
        <w:rPr>
          <w:rFonts w:ascii="Times New Roman" w:eastAsia="Times New Roman" w:hAnsi="Times New Roman" w:cs="Times New Roman"/>
          <w:kern w:val="0"/>
        </w:rPr>
        <w:t>,</w:t>
      </w:r>
      <w:r w:rsidRPr="007B1516">
        <w:rPr>
          <w:rFonts w:ascii="Times New Roman" w:eastAsia="Times New Roman" w:hAnsi="Times New Roman" w:cs="Times New Roman"/>
          <w:kern w:val="0"/>
        </w:rPr>
        <w:t xml:space="preserve"> nested case-control study of over 284,000 patients demonstrated that exposure to bladder antimuscarinic drugs was associated with a 65% increased risk of dementia (adjusted OR 1.65, 95% CI 1.56-1.75). The population-attributable fraction suggests that approximately 10% of dementia diagnoses may be attributable to anticholinergic drug exposure—a proportion comparable to other major modifiable risk factors such as hypertension and diabetes. Associations were particularly strong for vascular dementia and in patients diagnosed before age 80.</w:t>
      </w:r>
    </w:p>
    <w:p w14:paraId="44479E78" w14:textId="68ABC7EB"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lastRenderedPageBreak/>
        <w:t>Beta-3 agonists, while having a more favorable cognitive safety profile, present significant financial accessibility barriers for Medicare beneficiaries. Many patients face high</w:t>
      </w:r>
      <w:r w:rsidR="009C24A6">
        <w:rPr>
          <w:rFonts w:ascii="Times New Roman" w:eastAsia="Times New Roman" w:hAnsi="Times New Roman" w:cs="Times New Roman"/>
          <w:kern w:val="0"/>
        </w:rPr>
        <w:t>, prohibitive</w:t>
      </w:r>
      <w:r w:rsidR="00FB4312">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 xml:space="preserve">out-of-pocket costs for these medications, and certain comorbidities </w:t>
      </w:r>
      <w:r w:rsidR="00A5643D" w:rsidRPr="007B1516">
        <w:rPr>
          <w:rFonts w:ascii="Times New Roman" w:eastAsia="Times New Roman" w:hAnsi="Times New Roman" w:cs="Times New Roman"/>
          <w:kern w:val="0"/>
        </w:rPr>
        <w:t xml:space="preserve">including uncontrolled hypertension, </w:t>
      </w:r>
      <w:r w:rsidRPr="007B1516">
        <w:rPr>
          <w:rFonts w:ascii="Times New Roman" w:eastAsia="Times New Roman" w:hAnsi="Times New Roman" w:cs="Times New Roman"/>
          <w:kern w:val="0"/>
        </w:rPr>
        <w:t>may contraindicate their use. Requiring patients to fail these medications before accessing Botox unnecessarily exposes vulnerable older adults to cognitive risks</w:t>
      </w:r>
      <w:r w:rsidR="002C5159" w:rsidRPr="007B1516">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financial hardship</w:t>
      </w:r>
      <w:r w:rsidR="002C5159" w:rsidRPr="007B1516">
        <w:rPr>
          <w:rFonts w:ascii="Times New Roman" w:eastAsia="Times New Roman" w:hAnsi="Times New Roman" w:cs="Times New Roman"/>
          <w:kern w:val="0"/>
        </w:rPr>
        <w:t>, or both</w:t>
      </w:r>
      <w:r w:rsidRPr="007B1516">
        <w:rPr>
          <w:rFonts w:ascii="Times New Roman" w:eastAsia="Times New Roman" w:hAnsi="Times New Roman" w:cs="Times New Roman"/>
          <w:kern w:val="0"/>
        </w:rPr>
        <w:t>.</w:t>
      </w:r>
    </w:p>
    <w:p w14:paraId="665A084C" w14:textId="1DB7D1C9" w:rsidR="008D4F91" w:rsidRDefault="008D4F91" w:rsidP="007B1516">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The FDA-approved indication for Botox explicitly includes patients "inadequately managed by or intolerant of anticholinergic medication," recognizing that </w:t>
      </w:r>
      <w:r w:rsidR="004A7700">
        <w:rPr>
          <w:rFonts w:ascii="Times New Roman" w:eastAsia="Times New Roman" w:hAnsi="Times New Roman" w:cs="Times New Roman"/>
          <w:kern w:val="0"/>
        </w:rPr>
        <w:t>there is a population of</w:t>
      </w:r>
      <w:r w:rsidR="004A7700" w:rsidRPr="007B1516">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 xml:space="preserve">patients </w:t>
      </w:r>
      <w:r w:rsidR="00532982">
        <w:rPr>
          <w:rFonts w:ascii="Times New Roman" w:eastAsia="Times New Roman" w:hAnsi="Times New Roman" w:cs="Times New Roman"/>
          <w:kern w:val="0"/>
        </w:rPr>
        <w:t xml:space="preserve">who </w:t>
      </w:r>
      <w:r w:rsidRPr="007B1516">
        <w:rPr>
          <w:rFonts w:ascii="Times New Roman" w:eastAsia="Times New Roman" w:hAnsi="Times New Roman" w:cs="Times New Roman"/>
          <w:kern w:val="0"/>
        </w:rPr>
        <w:t>should not be required to trial these agents. Cost-effectiveness analyses demonstrate that Botox as first-line therapy may be more cost-effective than antimuscarinics, with one study showing Botox had the highest effectiveness (1.763 quality-adjusted life years) and incremental cost-effectiveness ratios of $12,429-$14,437</w:t>
      </w:r>
      <w:r w:rsidR="00BD7093" w:rsidRPr="007B1516">
        <w:rPr>
          <w:rFonts w:ascii="Times New Roman" w:eastAsia="Times New Roman" w:hAnsi="Times New Roman" w:cs="Times New Roman"/>
          <w:kern w:val="0"/>
        </w:rPr>
        <w:t xml:space="preserve"> per quality adjusted life-year (QALY) gained</w:t>
      </w:r>
      <w:r w:rsidRPr="007B1516">
        <w:rPr>
          <w:rFonts w:ascii="Times New Roman" w:eastAsia="Times New Roman" w:hAnsi="Times New Roman" w:cs="Times New Roman"/>
          <w:kern w:val="0"/>
        </w:rPr>
        <w:t>, well below standard willingness-to-pay thresholds</w:t>
      </w:r>
      <w:r w:rsidR="00BD7093" w:rsidRPr="007B1516">
        <w:rPr>
          <w:rFonts w:ascii="Times New Roman" w:eastAsia="Times New Roman" w:hAnsi="Times New Roman" w:cs="Times New Roman"/>
          <w:kern w:val="0"/>
        </w:rPr>
        <w:t xml:space="preserve"> of $100,000/QALY</w:t>
      </w:r>
      <w:r w:rsidRPr="007B1516">
        <w:rPr>
          <w:rFonts w:ascii="Times New Roman" w:eastAsia="Times New Roman" w:hAnsi="Times New Roman" w:cs="Times New Roman"/>
          <w:kern w:val="0"/>
        </w:rPr>
        <w:t>.</w:t>
      </w:r>
      <w:r w:rsidR="00BD7093" w:rsidRPr="007B1516">
        <w:rPr>
          <w:rFonts w:ascii="Times New Roman" w:eastAsia="Times New Roman" w:hAnsi="Times New Roman" w:cs="Times New Roman"/>
          <w:kern w:val="0"/>
        </w:rPr>
        <w:t xml:space="preserve">  These authors argued that Botox should routinely be offered as first-line treatment instead of antimuscarinics.</w:t>
      </w:r>
      <w:r w:rsidR="002C5159" w:rsidRPr="007B1516">
        <w:rPr>
          <w:rFonts w:ascii="Times New Roman" w:eastAsia="Times New Roman" w:hAnsi="Times New Roman" w:cs="Times New Roman"/>
          <w:kern w:val="0"/>
        </w:rPr>
        <w:t xml:space="preserve">  Traditionally, Botox has been used after medications where competing options include </w:t>
      </w:r>
      <w:r w:rsidR="0034710B" w:rsidRPr="007B1516">
        <w:rPr>
          <w:rFonts w:ascii="Times New Roman" w:eastAsia="Times New Roman" w:hAnsi="Times New Roman" w:cs="Times New Roman"/>
          <w:kern w:val="0"/>
        </w:rPr>
        <w:t xml:space="preserve">sacral nerve modulation (SNM) and percutaneous nerve stimulation (PTNS). </w:t>
      </w:r>
      <w:r w:rsidR="002C5159" w:rsidRPr="007B1516">
        <w:rPr>
          <w:rFonts w:ascii="Times New Roman" w:eastAsia="Times New Roman" w:hAnsi="Times New Roman" w:cs="Times New Roman"/>
          <w:kern w:val="0"/>
        </w:rPr>
        <w:t xml:space="preserve">Tighter restrictions and new hurdles to clear with </w:t>
      </w:r>
      <w:r w:rsidR="0034710B" w:rsidRPr="007B1516">
        <w:rPr>
          <w:rFonts w:ascii="Times New Roman" w:eastAsia="Times New Roman" w:hAnsi="Times New Roman" w:cs="Times New Roman"/>
          <w:kern w:val="0"/>
        </w:rPr>
        <w:t>B</w:t>
      </w:r>
      <w:r w:rsidR="002C5159" w:rsidRPr="007B1516">
        <w:rPr>
          <w:rFonts w:ascii="Times New Roman" w:eastAsia="Times New Roman" w:hAnsi="Times New Roman" w:cs="Times New Roman"/>
          <w:kern w:val="0"/>
        </w:rPr>
        <w:t xml:space="preserve">otox use </w:t>
      </w:r>
      <w:r w:rsidR="00A5643D" w:rsidRPr="007B1516">
        <w:rPr>
          <w:rFonts w:ascii="Times New Roman" w:eastAsia="Times New Roman" w:hAnsi="Times New Roman" w:cs="Times New Roman"/>
          <w:kern w:val="0"/>
        </w:rPr>
        <w:t xml:space="preserve">may </w:t>
      </w:r>
      <w:r w:rsidR="002C5159" w:rsidRPr="007B1516">
        <w:rPr>
          <w:rFonts w:ascii="Times New Roman" w:eastAsia="Times New Roman" w:hAnsi="Times New Roman" w:cs="Times New Roman"/>
          <w:kern w:val="0"/>
        </w:rPr>
        <w:t xml:space="preserve">either result in greater use of these alternatives or more patients suffering from refractory </w:t>
      </w:r>
      <w:r w:rsidR="000E7771" w:rsidRPr="007B1516">
        <w:rPr>
          <w:rFonts w:ascii="Times New Roman" w:eastAsia="Times New Roman" w:hAnsi="Times New Roman" w:cs="Times New Roman"/>
          <w:kern w:val="0"/>
        </w:rPr>
        <w:t xml:space="preserve">untreated </w:t>
      </w:r>
      <w:r w:rsidR="002C5159" w:rsidRPr="007B1516">
        <w:rPr>
          <w:rFonts w:ascii="Times New Roman" w:eastAsia="Times New Roman" w:hAnsi="Times New Roman" w:cs="Times New Roman"/>
          <w:kern w:val="0"/>
        </w:rPr>
        <w:t xml:space="preserve">OAB.  </w:t>
      </w:r>
      <w:r w:rsidR="00A5643D" w:rsidRPr="007B1516">
        <w:rPr>
          <w:rFonts w:ascii="Times New Roman" w:eastAsia="Times New Roman" w:hAnsi="Times New Roman" w:cs="Times New Roman"/>
          <w:kern w:val="0"/>
        </w:rPr>
        <w:t>Multiple studies have highlighted Botox as more cost effective than PTNS or SNM</w:t>
      </w:r>
      <w:r w:rsidR="007B1516" w:rsidRPr="007B1516">
        <w:rPr>
          <w:rFonts w:ascii="Times New Roman" w:eastAsia="Times New Roman" w:hAnsi="Times New Roman" w:cs="Times New Roman"/>
          <w:kern w:val="0"/>
        </w:rPr>
        <w:t>.</w:t>
      </w:r>
      <w:r w:rsidR="000E7771" w:rsidRPr="007B1516">
        <w:rPr>
          <w:rFonts w:ascii="Times New Roman" w:eastAsia="Times New Roman" w:hAnsi="Times New Roman" w:cs="Times New Roman"/>
          <w:kern w:val="0"/>
        </w:rPr>
        <w:t xml:space="preserve"> </w:t>
      </w:r>
    </w:p>
    <w:p w14:paraId="06F57790" w14:textId="0C2E682A" w:rsidR="00B00B10" w:rsidRPr="007B1516" w:rsidRDefault="00B00B10" w:rsidP="007B1516">
      <w:pPr>
        <w:shd w:val="clear" w:color="auto" w:fill="FFFFFF"/>
        <w:spacing w:before="240" w:after="240"/>
        <w:rPr>
          <w:rFonts w:ascii="Times New Roman" w:eastAsia="Times New Roman" w:hAnsi="Times New Roman" w:cs="Times New Roman"/>
          <w:kern w:val="0"/>
        </w:rPr>
      </w:pPr>
      <w:r>
        <w:rPr>
          <w:rFonts w:ascii="Times New Roman" w:eastAsia="Times New Roman" w:hAnsi="Times New Roman" w:cs="Times New Roman"/>
          <w:kern w:val="0"/>
        </w:rPr>
        <w:t>Additionally, the current guideline on</w:t>
      </w:r>
      <w:r w:rsidR="00EF0DA4">
        <w:rPr>
          <w:rFonts w:ascii="Times New Roman" w:eastAsia="Times New Roman" w:hAnsi="Times New Roman" w:cs="Times New Roman"/>
          <w:kern w:val="0"/>
        </w:rPr>
        <w:t xml:space="preserve"> </w:t>
      </w:r>
      <w:r w:rsidR="007D392D">
        <w:rPr>
          <w:rFonts w:ascii="Times New Roman" w:eastAsia="Times New Roman" w:hAnsi="Times New Roman" w:cs="Times New Roman"/>
          <w:kern w:val="0"/>
        </w:rPr>
        <w:t>management of idiopathic</w:t>
      </w:r>
      <w:r>
        <w:rPr>
          <w:rFonts w:ascii="Times New Roman" w:eastAsia="Times New Roman" w:hAnsi="Times New Roman" w:cs="Times New Roman"/>
          <w:kern w:val="0"/>
        </w:rPr>
        <w:t xml:space="preserve"> OAB published jointly by the </w:t>
      </w:r>
      <w:r w:rsidR="001E7606">
        <w:rPr>
          <w:rFonts w:ascii="Times New Roman" w:eastAsia="Times New Roman" w:hAnsi="Times New Roman" w:cs="Times New Roman"/>
          <w:kern w:val="0"/>
        </w:rPr>
        <w:t xml:space="preserve">AUA </w:t>
      </w:r>
      <w:r>
        <w:rPr>
          <w:rFonts w:ascii="Times New Roman" w:eastAsia="Times New Roman" w:hAnsi="Times New Roman" w:cs="Times New Roman"/>
          <w:kern w:val="0"/>
        </w:rPr>
        <w:t>and SUFU</w:t>
      </w:r>
      <w:r w:rsidR="001E7606">
        <w:rPr>
          <w:rFonts w:ascii="Times New Roman" w:eastAsia="Times New Roman" w:hAnsi="Times New Roman" w:cs="Times New Roman"/>
          <w:kern w:val="0"/>
        </w:rPr>
        <w:t xml:space="preserve"> no longer supports </w:t>
      </w:r>
      <w:r w:rsidR="00C440F9">
        <w:rPr>
          <w:rFonts w:ascii="Times New Roman" w:eastAsia="Times New Roman" w:hAnsi="Times New Roman" w:cs="Times New Roman"/>
          <w:kern w:val="0"/>
        </w:rPr>
        <w:t xml:space="preserve">mandatory trial of oral medication (“step therapy”) before progressing to </w:t>
      </w:r>
      <w:r w:rsidR="007C1C6E">
        <w:rPr>
          <w:rFonts w:ascii="Times New Roman" w:eastAsia="Times New Roman" w:hAnsi="Times New Roman" w:cs="Times New Roman"/>
          <w:kern w:val="0"/>
        </w:rPr>
        <w:t>Botox</w:t>
      </w:r>
      <w:r w:rsidR="001E7606">
        <w:rPr>
          <w:rFonts w:ascii="Times New Roman" w:eastAsia="Times New Roman" w:hAnsi="Times New Roman" w:cs="Times New Roman"/>
          <w:kern w:val="0"/>
        </w:rPr>
        <w:t>.  Ra</w:t>
      </w:r>
      <w:r w:rsidR="003936AC">
        <w:rPr>
          <w:rFonts w:ascii="Times New Roman" w:eastAsia="Times New Roman" w:hAnsi="Times New Roman" w:cs="Times New Roman"/>
          <w:kern w:val="0"/>
        </w:rPr>
        <w:t xml:space="preserve">ther a process of shared decision-making </w:t>
      </w:r>
      <w:r w:rsidR="00DB3084">
        <w:rPr>
          <w:rFonts w:ascii="Times New Roman" w:eastAsia="Times New Roman" w:hAnsi="Times New Roman" w:cs="Times New Roman"/>
          <w:kern w:val="0"/>
        </w:rPr>
        <w:t xml:space="preserve">with the patient </w:t>
      </w:r>
      <w:r w:rsidR="003936AC">
        <w:rPr>
          <w:rFonts w:ascii="Times New Roman" w:eastAsia="Times New Roman" w:hAnsi="Times New Roman" w:cs="Times New Roman"/>
          <w:kern w:val="0"/>
        </w:rPr>
        <w:t xml:space="preserve">is recommended in which all the options are discussed </w:t>
      </w:r>
      <w:r w:rsidR="008E2A8B">
        <w:rPr>
          <w:rFonts w:ascii="Times New Roman" w:eastAsia="Times New Roman" w:hAnsi="Times New Roman" w:cs="Times New Roman"/>
          <w:kern w:val="0"/>
        </w:rPr>
        <w:t>with risks and benefits to determine therapy.</w:t>
      </w:r>
    </w:p>
    <w:p w14:paraId="3714C79A"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Administrative Burden of Questionnaire Requirements</w:t>
      </w:r>
    </w:p>
    <w:p w14:paraId="333A3FC1"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The requirement for patients to complete multiple questionnaires creates disproportionate barriers for rural and elderly Medicare beneficiaries—the very populations most affected by overactive bladder. Rural populations face unique healthcare access challenges including geographic distance, limited transportation options, inadequate broadband internet access for telehealth, and healthcare workforce shortages. Requiring additional office visits or complex documentation for questionnaire completion compounds these existing barriers.</w:t>
      </w:r>
    </w:p>
    <w:p w14:paraId="5CAC9CAA" w14:textId="6B5EBA25"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Elderly patients, particularly those with cognitive impairment</w:t>
      </w:r>
      <w:r w:rsidR="00E421D1">
        <w:rPr>
          <w:rFonts w:ascii="Times New Roman" w:eastAsia="Times New Roman" w:hAnsi="Times New Roman" w:cs="Times New Roman"/>
          <w:kern w:val="0"/>
        </w:rPr>
        <w:t xml:space="preserve"> (a patient subset that </w:t>
      </w:r>
      <w:r w:rsidR="00F85EC7">
        <w:rPr>
          <w:rFonts w:ascii="Times New Roman" w:eastAsia="Times New Roman" w:hAnsi="Times New Roman" w:cs="Times New Roman"/>
          <w:kern w:val="0"/>
        </w:rPr>
        <w:t xml:space="preserve">may specifically benefit from </w:t>
      </w:r>
      <w:r w:rsidR="00C61711">
        <w:rPr>
          <w:rFonts w:ascii="Times New Roman" w:eastAsia="Times New Roman" w:hAnsi="Times New Roman" w:cs="Times New Roman"/>
          <w:kern w:val="0"/>
        </w:rPr>
        <w:t>Botox</w:t>
      </w:r>
      <w:r w:rsidR="00F85EC7">
        <w:rPr>
          <w:rFonts w:ascii="Times New Roman" w:eastAsia="Times New Roman" w:hAnsi="Times New Roman" w:cs="Times New Roman"/>
          <w:kern w:val="0"/>
        </w:rPr>
        <w:t xml:space="preserve"> due to the dementia risk of oral medications)</w:t>
      </w:r>
      <w:r w:rsidRPr="007B1516">
        <w:rPr>
          <w:rFonts w:ascii="Times New Roman" w:eastAsia="Times New Roman" w:hAnsi="Times New Roman" w:cs="Times New Roman"/>
          <w:kern w:val="0"/>
        </w:rPr>
        <w:t>, may struggle with questionnaire completion. The prevalence of urinary incontinence increases dramatically with age, affecting 38% of community-dwelling women over 60 and up to 77% of those in long-term care settings. Many of these patients already face challenges navigating the healthcare system. Adding administrative requirements that necessitate additional visits or assistance creates unnecessary obstacles to accessing effective treatment.</w:t>
      </w:r>
    </w:p>
    <w:p w14:paraId="6502FF85"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Cost-Effectiveness and Economic Impact of Untreated Incontinence</w:t>
      </w:r>
    </w:p>
    <w:p w14:paraId="3F118262"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Botox therapy represents a cost-effective treatment option when considering the full economic burden of untreated urinary incontinence. The direct medical and nonmedical costs of urinary </w:t>
      </w:r>
      <w:r w:rsidRPr="007B1516">
        <w:rPr>
          <w:rFonts w:ascii="Times New Roman" w:eastAsia="Times New Roman" w:hAnsi="Times New Roman" w:cs="Times New Roman"/>
          <w:kern w:val="0"/>
        </w:rPr>
        <w:lastRenderedPageBreak/>
        <w:t>incontinence in the United States exceed $51 billion annually. Approximately 6% of nursing home admissions of older women are attributed to urinary incontinence, costing $3 billion per year.</w:t>
      </w:r>
    </w:p>
    <w:p w14:paraId="1DC3C71D"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Untreated incontinence leads to substantial indirect costs including increased fall risk (1.5-2.3 times higher in women with lower urinary tract symptoms), fractures, urinary tract infections, pressure ulcers, depression, social isolation, and functional decline. These complications generate additional healthcare utilization and costs that far exceed the cost of effective treatment. Multiple cost-effectiveness analyses demonstrate that Botox is cost-effective compared to other treatment modalities, with some studies showing it costs less and provides greater effectiveness than selective anticholinergics.</w:t>
      </w:r>
    </w:p>
    <w:p w14:paraId="7ABA7162"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Impact on Medicare Beneficiaries</w:t>
      </w:r>
    </w:p>
    <w:p w14:paraId="5D9CB23D"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The consequences of inadequately treated urinary incontinence in Medicare beneficiaries are severe and well-documented. Incontinence significantly affects quality of life across all domains, with incontinent elderly patients demonstrating significantly lower physical and mental health indices compared to continent peers. The condition is associated with depression, social isolation, reduced independence, and decreased participation in social and work activities.</w:t>
      </w:r>
    </w:p>
    <w:p w14:paraId="5F6EAEBE"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Urinary incontinence severity is inversely related to physical performance, and the condition substantially increases fall risk—a major cause of morbidity and mortality in older adults. By creating barriers to effective treatment, these LCD requirements will perpetuate these adverse outcomes and their associated costs to the Medicare program.</w:t>
      </w:r>
    </w:p>
    <w:p w14:paraId="34328E09"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Administrative Burden on Physician Practices</w:t>
      </w:r>
    </w:p>
    <w:p w14:paraId="127FAF09"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The new LCD requirements impose substantial administrative burdens on physician practices that will reduce efficiency and potentially limit access to care. Requirements for documentation of failed medication trials, questionnaire administration and scoring, and justification for treatment decisions consume valuable clinical time and resources. For practices serving rural or underserved populations with limited administrative support, these requirements may prove prohibitive, effectively limiting access to this evidence-based therapy.</w:t>
      </w:r>
    </w:p>
    <w:p w14:paraId="476AB5D9" w14:textId="3222B786"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The administrative burden is particularly problematic given existing healthcare workforce shortages in rural areas</w:t>
      </w:r>
      <w:r w:rsidR="00F32F09">
        <w:rPr>
          <w:rFonts w:ascii="Times New Roman" w:eastAsia="Times New Roman" w:hAnsi="Times New Roman" w:cs="Times New Roman"/>
          <w:kern w:val="0"/>
        </w:rPr>
        <w:t>, the ongoing national shortage of urologists</w:t>
      </w:r>
      <w:r w:rsidR="00441097">
        <w:rPr>
          <w:rFonts w:ascii="Times New Roman" w:eastAsia="Times New Roman" w:hAnsi="Times New Roman" w:cs="Times New Roman"/>
          <w:kern w:val="0"/>
        </w:rPr>
        <w:t xml:space="preserve"> and urogynecologists</w:t>
      </w:r>
      <w:r w:rsidR="00F32F09">
        <w:rPr>
          <w:rFonts w:ascii="Times New Roman" w:eastAsia="Times New Roman" w:hAnsi="Times New Roman" w:cs="Times New Roman"/>
          <w:kern w:val="0"/>
        </w:rPr>
        <w:t>,</w:t>
      </w:r>
      <w:r w:rsidRPr="007B1516">
        <w:rPr>
          <w:rFonts w:ascii="Times New Roman" w:eastAsia="Times New Roman" w:hAnsi="Times New Roman" w:cs="Times New Roman"/>
          <w:kern w:val="0"/>
        </w:rPr>
        <w:t xml:space="preserve"> and the time constraints facing primary care and specialty practices. Resources diverted to administrative documentation represent time that could be spent on direct patient care.</w:t>
      </w:r>
    </w:p>
    <w:p w14:paraId="63CF2DE8"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b/>
          <w:bCs/>
          <w:kern w:val="0"/>
        </w:rPr>
        <w:t>Recommendations</w:t>
      </w:r>
    </w:p>
    <w:p w14:paraId="04F13880" w14:textId="2C1801B2" w:rsidR="00DC46F9" w:rsidRDefault="008D4F91" w:rsidP="00351FD2">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Based on the evidence presented, </w:t>
      </w:r>
      <w:r w:rsidR="00DC46F9">
        <w:rPr>
          <w:rFonts w:ascii="Times New Roman" w:eastAsia="Times New Roman" w:hAnsi="Times New Roman" w:cs="Times New Roman"/>
          <w:kern w:val="0"/>
        </w:rPr>
        <w:t>we</w:t>
      </w:r>
      <w:r w:rsidR="00BD04EA">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 xml:space="preserve">respectfully request that CMS reconsider the following aspects of the </w:t>
      </w:r>
      <w:r w:rsidR="0076094B">
        <w:rPr>
          <w:rFonts w:ascii="Times New Roman" w:eastAsia="Times New Roman" w:hAnsi="Times New Roman" w:cs="Times New Roman"/>
          <w:kern w:val="0"/>
        </w:rPr>
        <w:t xml:space="preserve">Botox </w:t>
      </w:r>
      <w:r w:rsidRPr="007B1516">
        <w:rPr>
          <w:rFonts w:ascii="Times New Roman" w:eastAsia="Times New Roman" w:hAnsi="Times New Roman" w:cs="Times New Roman"/>
          <w:kern w:val="0"/>
        </w:rPr>
        <w:t>LCD:</w:t>
      </w:r>
    </w:p>
    <w:p w14:paraId="5BC33274" w14:textId="739DF686" w:rsidR="00DC46F9" w:rsidRPr="007B1516" w:rsidRDefault="00DC46F9" w:rsidP="00DC46F9">
      <w:pPr>
        <w:numPr>
          <w:ilvl w:val="0"/>
          <w:numId w:val="3"/>
        </w:numPr>
        <w:shd w:val="clear" w:color="auto" w:fill="FFFFFF"/>
        <w:spacing w:before="30" w:after="3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Permit dose escalation to 200 units for </w:t>
      </w:r>
      <w:r w:rsidR="00810835">
        <w:rPr>
          <w:rFonts w:ascii="Times New Roman" w:eastAsia="Times New Roman" w:hAnsi="Times New Roman" w:cs="Times New Roman"/>
          <w:kern w:val="0"/>
        </w:rPr>
        <w:t xml:space="preserve">idiopathic OAB </w:t>
      </w:r>
      <w:r w:rsidRPr="007B1516">
        <w:rPr>
          <w:rFonts w:ascii="Times New Roman" w:eastAsia="Times New Roman" w:hAnsi="Times New Roman" w:cs="Times New Roman"/>
          <w:kern w:val="0"/>
        </w:rPr>
        <w:t xml:space="preserve">patients with inadequate response to initial 100-unit dosing, </w:t>
      </w:r>
      <w:r w:rsidR="0073327C" w:rsidRPr="0073327C">
        <w:rPr>
          <w:rFonts w:ascii="Times New Roman" w:eastAsia="Times New Roman" w:hAnsi="Times New Roman" w:cs="Times New Roman"/>
          <w:kern w:val="0"/>
        </w:rPr>
        <w:t>consistent with increased efficacy for non-responders found in peer-reviewed clinical evidence</w:t>
      </w:r>
      <w:r w:rsidR="005C555E">
        <w:rPr>
          <w:rFonts w:ascii="Times New Roman" w:eastAsia="Times New Roman" w:hAnsi="Times New Roman" w:cs="Times New Roman"/>
          <w:kern w:val="0"/>
        </w:rPr>
        <w:t>,</w:t>
      </w:r>
      <w:r w:rsidR="001B3ADE">
        <w:rPr>
          <w:rFonts w:ascii="Times New Roman" w:eastAsia="Times New Roman" w:hAnsi="Times New Roman" w:cs="Times New Roman"/>
          <w:kern w:val="0"/>
        </w:rPr>
        <w:t xml:space="preserve"> and </w:t>
      </w:r>
      <w:r w:rsidR="0073327C">
        <w:rPr>
          <w:rFonts w:ascii="Times New Roman" w:eastAsia="Times New Roman" w:hAnsi="Times New Roman" w:cs="Times New Roman"/>
          <w:kern w:val="0"/>
        </w:rPr>
        <w:t xml:space="preserve">with </w:t>
      </w:r>
      <w:r w:rsidR="001B3ADE">
        <w:rPr>
          <w:rFonts w:ascii="Times New Roman" w:eastAsia="Times New Roman" w:hAnsi="Times New Roman" w:cs="Times New Roman"/>
          <w:kern w:val="0"/>
        </w:rPr>
        <w:t>established peer-reviewed treatment guidelines</w:t>
      </w:r>
      <w:r w:rsidRPr="007B1516">
        <w:rPr>
          <w:rFonts w:ascii="Times New Roman" w:eastAsia="Times New Roman" w:hAnsi="Times New Roman" w:cs="Times New Roman"/>
          <w:kern w:val="0"/>
        </w:rPr>
        <w:t>.</w:t>
      </w:r>
    </w:p>
    <w:p w14:paraId="736CFE25" w14:textId="5AB8F739" w:rsidR="008D4F91" w:rsidRPr="007B1516" w:rsidRDefault="008D4F91" w:rsidP="00DC46F9">
      <w:pPr>
        <w:numPr>
          <w:ilvl w:val="0"/>
          <w:numId w:val="3"/>
        </w:numPr>
        <w:shd w:val="clear" w:color="auto" w:fill="FFFFFF"/>
        <w:spacing w:before="30" w:after="30"/>
        <w:rPr>
          <w:rFonts w:ascii="Times New Roman" w:eastAsia="Times New Roman" w:hAnsi="Times New Roman" w:cs="Times New Roman"/>
          <w:kern w:val="0"/>
        </w:rPr>
      </w:pPr>
      <w:r w:rsidRPr="007B1516">
        <w:rPr>
          <w:rFonts w:ascii="Times New Roman" w:eastAsia="Times New Roman" w:hAnsi="Times New Roman" w:cs="Times New Roman"/>
          <w:kern w:val="0"/>
        </w:rPr>
        <w:lastRenderedPageBreak/>
        <w:t xml:space="preserve">Eliminate the mandatory requirement for anticholinergic or beta-3 agonist trials, allowing clinicians to determine appropriateness based on individual patient factors including dementia risk, </w:t>
      </w:r>
      <w:r w:rsidR="000077FD" w:rsidRPr="007B1516">
        <w:rPr>
          <w:rFonts w:ascii="Times New Roman" w:eastAsia="Times New Roman" w:hAnsi="Times New Roman" w:cs="Times New Roman"/>
          <w:kern w:val="0"/>
        </w:rPr>
        <w:t xml:space="preserve">pre-existing constipation or dry mouth which would be worsened with common medication side effects, </w:t>
      </w:r>
      <w:r w:rsidRPr="007B1516">
        <w:rPr>
          <w:rFonts w:ascii="Times New Roman" w:eastAsia="Times New Roman" w:hAnsi="Times New Roman" w:cs="Times New Roman"/>
          <w:kern w:val="0"/>
        </w:rPr>
        <w:t>financial constraints, and comorbidities.</w:t>
      </w:r>
    </w:p>
    <w:p w14:paraId="490B363B" w14:textId="0E076DA4" w:rsidR="008D4F91" w:rsidRPr="007B1516" w:rsidRDefault="008D4F91" w:rsidP="00DC46F9">
      <w:pPr>
        <w:numPr>
          <w:ilvl w:val="0"/>
          <w:numId w:val="3"/>
        </w:numPr>
        <w:shd w:val="clear" w:color="auto" w:fill="FFFFFF"/>
        <w:spacing w:before="30" w:after="30"/>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Streamline or eliminate questionnaire requirements that create disproportionate barriers for rural and elderly </w:t>
      </w:r>
      <w:proofErr w:type="gramStart"/>
      <w:r w:rsidRPr="007B1516">
        <w:rPr>
          <w:rFonts w:ascii="Times New Roman" w:eastAsia="Times New Roman" w:hAnsi="Times New Roman" w:cs="Times New Roman"/>
          <w:kern w:val="0"/>
        </w:rPr>
        <w:t>patients,</w:t>
      </w:r>
      <w:r w:rsidR="00E4660F">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or</w:t>
      </w:r>
      <w:proofErr w:type="gramEnd"/>
      <w:r w:rsidRPr="007B1516">
        <w:rPr>
          <w:rFonts w:ascii="Times New Roman" w:eastAsia="Times New Roman" w:hAnsi="Times New Roman" w:cs="Times New Roman"/>
          <w:kern w:val="0"/>
        </w:rPr>
        <w:t xml:space="preserve"> allow flexibility in how these assessments are documented.</w:t>
      </w:r>
      <w:r w:rsidR="000077FD" w:rsidRPr="007B1516">
        <w:rPr>
          <w:rFonts w:ascii="Times New Roman" w:eastAsia="Times New Roman" w:hAnsi="Times New Roman" w:cs="Times New Roman"/>
          <w:kern w:val="0"/>
        </w:rPr>
        <w:t xml:space="preserve">  </w:t>
      </w:r>
      <w:r w:rsidR="007720E7" w:rsidRPr="007B1516">
        <w:rPr>
          <w:rFonts w:ascii="Times New Roman" w:eastAsia="Times New Roman" w:hAnsi="Times New Roman" w:cs="Times New Roman"/>
          <w:kern w:val="0"/>
        </w:rPr>
        <w:t>A patient self-reporting adequate symptom relief for more than the expected duration of relief should be sufficient evidence for reinjection.</w:t>
      </w:r>
    </w:p>
    <w:p w14:paraId="4E2C3F76" w14:textId="52DE85D8" w:rsidR="008D4F91" w:rsidRPr="007B1516" w:rsidRDefault="008D4F91" w:rsidP="00DC46F9">
      <w:pPr>
        <w:numPr>
          <w:ilvl w:val="0"/>
          <w:numId w:val="3"/>
        </w:numPr>
        <w:shd w:val="clear" w:color="auto" w:fill="FFFFFF"/>
        <w:spacing w:before="30" w:after="30"/>
        <w:rPr>
          <w:rFonts w:ascii="Times New Roman" w:eastAsia="Times New Roman" w:hAnsi="Times New Roman" w:cs="Times New Roman"/>
          <w:kern w:val="0"/>
        </w:rPr>
      </w:pPr>
      <w:r w:rsidRPr="007B1516">
        <w:rPr>
          <w:rFonts w:ascii="Times New Roman" w:eastAsia="Times New Roman" w:hAnsi="Times New Roman" w:cs="Times New Roman"/>
          <w:kern w:val="0"/>
        </w:rPr>
        <w:t>Recognize Botox as a first-line option for appropriate patients, consistent with its FDA indication</w:t>
      </w:r>
      <w:r w:rsidR="001B3ADE">
        <w:rPr>
          <w:rFonts w:ascii="Times New Roman" w:eastAsia="Times New Roman" w:hAnsi="Times New Roman" w:cs="Times New Roman"/>
          <w:kern w:val="0"/>
        </w:rPr>
        <w:t xml:space="preserve">, </w:t>
      </w:r>
      <w:r w:rsidRPr="007B1516">
        <w:rPr>
          <w:rFonts w:ascii="Times New Roman" w:eastAsia="Times New Roman" w:hAnsi="Times New Roman" w:cs="Times New Roman"/>
          <w:kern w:val="0"/>
        </w:rPr>
        <w:t>cost-effectiveness data</w:t>
      </w:r>
      <w:r w:rsidR="001B3ADE">
        <w:rPr>
          <w:rFonts w:ascii="Times New Roman" w:eastAsia="Times New Roman" w:hAnsi="Times New Roman" w:cs="Times New Roman"/>
          <w:kern w:val="0"/>
        </w:rPr>
        <w:t>, and established peer-reviewed guidelines</w:t>
      </w:r>
      <w:r w:rsidR="008E39BD">
        <w:rPr>
          <w:rFonts w:ascii="Times New Roman" w:eastAsia="Times New Roman" w:hAnsi="Times New Roman" w:cs="Times New Roman"/>
          <w:kern w:val="0"/>
        </w:rPr>
        <w:t>.</w:t>
      </w:r>
    </w:p>
    <w:p w14:paraId="128B7D64" w14:textId="77777777" w:rsidR="008D4F91" w:rsidRPr="007B1516" w:rsidRDefault="008D4F91" w:rsidP="008D4F91">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These modifications would align the LCD with current evidence-based practice, improve access to effective treatment for Medicare beneficiaries, reduce unnecessary exposure to medications with significant safety concerns, and decrease the overall economic burden of inadequately treated urinary incontinence.</w:t>
      </w:r>
    </w:p>
    <w:p w14:paraId="6FA2CF9D" w14:textId="77777777" w:rsidR="000D7CA3" w:rsidRPr="007B1516" w:rsidRDefault="000D7CA3" w:rsidP="000D7CA3">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Thank you for your consideration of these concerns. I welcome the opportunity to discuss these issues further and provide additional clinical evidence as needed.</w:t>
      </w:r>
    </w:p>
    <w:p w14:paraId="54039BD1" w14:textId="77777777" w:rsidR="000D7CA3" w:rsidRPr="007B1516" w:rsidRDefault="000D7CA3" w:rsidP="000D7CA3">
      <w:pPr>
        <w:shd w:val="clear" w:color="auto" w:fill="FFFFFF"/>
        <w:spacing w:before="240" w:after="240"/>
        <w:rPr>
          <w:rFonts w:ascii="Times New Roman" w:eastAsia="Times New Roman" w:hAnsi="Times New Roman" w:cs="Times New Roman"/>
          <w:kern w:val="0"/>
        </w:rPr>
      </w:pPr>
      <w:r w:rsidRPr="007B1516">
        <w:rPr>
          <w:rFonts w:ascii="Times New Roman" w:eastAsia="Times New Roman" w:hAnsi="Times New Roman" w:cs="Times New Roman"/>
          <w:kern w:val="0"/>
        </w:rPr>
        <w:t>Sincerely,</w:t>
      </w:r>
    </w:p>
    <w:p w14:paraId="297D7C6A" w14:textId="77777777" w:rsidR="000D7CA3" w:rsidRPr="00EE5161" w:rsidRDefault="000D7CA3" w:rsidP="000D7CA3">
      <w:pPr>
        <w:shd w:val="clear" w:color="auto" w:fill="FFFFFF"/>
        <w:spacing w:before="240" w:after="240"/>
        <w:rPr>
          <w:rFonts w:ascii="Times New Roman" w:eastAsia="Times New Roman" w:hAnsi="Times New Roman" w:cs="Times New Roman"/>
          <w:kern w:val="0"/>
          <w:highlight w:val="yellow"/>
        </w:rPr>
      </w:pPr>
      <w:r w:rsidRPr="00EE5161">
        <w:rPr>
          <w:rFonts w:ascii="Times New Roman" w:eastAsia="Times New Roman" w:hAnsi="Times New Roman" w:cs="Times New Roman"/>
          <w:kern w:val="0"/>
          <w:highlight w:val="yellow"/>
        </w:rPr>
        <w:t>[Physician Name]</w:t>
      </w:r>
    </w:p>
    <w:p w14:paraId="4E1AC007" w14:textId="77777777" w:rsidR="000D7CA3" w:rsidRPr="00EE5161" w:rsidRDefault="000D7CA3" w:rsidP="000D7CA3">
      <w:pPr>
        <w:shd w:val="clear" w:color="auto" w:fill="FFFFFF"/>
        <w:spacing w:before="240" w:after="240"/>
        <w:rPr>
          <w:rFonts w:ascii="Times New Roman" w:eastAsia="Times New Roman" w:hAnsi="Times New Roman" w:cs="Times New Roman"/>
          <w:kern w:val="0"/>
          <w:highlight w:val="yellow"/>
        </w:rPr>
      </w:pPr>
      <w:r w:rsidRPr="00EE5161">
        <w:rPr>
          <w:rFonts w:ascii="Times New Roman" w:eastAsia="Times New Roman" w:hAnsi="Times New Roman" w:cs="Times New Roman"/>
          <w:kern w:val="0"/>
          <w:highlight w:val="yellow"/>
        </w:rPr>
        <w:t>[Title]</w:t>
      </w:r>
    </w:p>
    <w:p w14:paraId="7345BE5B" w14:textId="77777777" w:rsidR="000D7CA3" w:rsidRPr="00EE5161" w:rsidRDefault="000D7CA3" w:rsidP="000D7CA3">
      <w:pPr>
        <w:shd w:val="clear" w:color="auto" w:fill="FFFFFF"/>
        <w:spacing w:before="240" w:after="240"/>
        <w:rPr>
          <w:rFonts w:ascii="Times New Roman" w:eastAsia="Times New Roman" w:hAnsi="Times New Roman" w:cs="Times New Roman"/>
          <w:kern w:val="0"/>
          <w:highlight w:val="yellow"/>
        </w:rPr>
      </w:pPr>
      <w:r w:rsidRPr="00EE5161">
        <w:rPr>
          <w:rFonts w:ascii="Times New Roman" w:eastAsia="Times New Roman" w:hAnsi="Times New Roman" w:cs="Times New Roman"/>
          <w:kern w:val="0"/>
          <w:highlight w:val="yellow"/>
        </w:rPr>
        <w:t>[Institution]</w:t>
      </w:r>
    </w:p>
    <w:p w14:paraId="55A4A5E3" w14:textId="77777777" w:rsidR="000D7CA3" w:rsidRPr="007B1516" w:rsidRDefault="000D7CA3" w:rsidP="000D7CA3">
      <w:pPr>
        <w:shd w:val="clear" w:color="auto" w:fill="FFFFFF"/>
        <w:spacing w:before="240"/>
        <w:rPr>
          <w:rFonts w:ascii="Times New Roman" w:eastAsia="Times New Roman" w:hAnsi="Times New Roman" w:cs="Times New Roman"/>
          <w:kern w:val="0"/>
        </w:rPr>
      </w:pPr>
      <w:r w:rsidRPr="00EE5161">
        <w:rPr>
          <w:rFonts w:ascii="Times New Roman" w:eastAsia="Times New Roman" w:hAnsi="Times New Roman" w:cs="Times New Roman"/>
          <w:kern w:val="0"/>
          <w:highlight w:val="yellow"/>
        </w:rPr>
        <w:t>[Contact Information]</w:t>
      </w:r>
    </w:p>
    <w:p w14:paraId="4EF09B7E" w14:textId="45C8DBBA" w:rsidR="008D4F91" w:rsidRPr="007B1516" w:rsidRDefault="008D4F91">
      <w:pPr>
        <w:rPr>
          <w:rFonts w:ascii="Times New Roman" w:hAnsi="Times New Roman" w:cs="Times New Roman"/>
        </w:rPr>
      </w:pPr>
    </w:p>
    <w:p w14:paraId="61D713CE" w14:textId="46BA9CB2"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Coupland CAC, Hill T, Dening T, et al. Anticholinergic drug exposure and the risk of dementia: a nested case–control study. </w:t>
      </w:r>
      <w:r w:rsidRPr="00A5643D">
        <w:rPr>
          <w:rFonts w:ascii="Times New Roman" w:eastAsia="Times New Roman" w:hAnsi="Times New Roman" w:cs="Times New Roman"/>
          <w:i/>
          <w:iCs/>
          <w:kern w:val="0"/>
        </w:rPr>
        <w:t>JAMA Intern Med.</w:t>
      </w:r>
      <w:r w:rsidRPr="00A5643D">
        <w:rPr>
          <w:rFonts w:ascii="Times New Roman" w:eastAsia="Times New Roman" w:hAnsi="Times New Roman" w:cs="Times New Roman"/>
          <w:kern w:val="0"/>
        </w:rPr>
        <w:t> 2019;179(8):1084–1093.</w:t>
      </w:r>
    </w:p>
    <w:p w14:paraId="24105C29" w14:textId="77777777" w:rsidR="007B1516" w:rsidRPr="00A5643D" w:rsidRDefault="007B1516" w:rsidP="00A5643D">
      <w:pPr>
        <w:rPr>
          <w:rFonts w:ascii="Times New Roman" w:eastAsia="Times New Roman" w:hAnsi="Times New Roman" w:cs="Times New Roman"/>
          <w:color w:val="424242"/>
          <w:kern w:val="0"/>
        </w:rPr>
      </w:pPr>
    </w:p>
    <w:p w14:paraId="131FA17A" w14:textId="227FA33C"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Shabir H, Hashemi S, Al-</w:t>
      </w:r>
      <w:proofErr w:type="spellStart"/>
      <w:r w:rsidRPr="00A5643D">
        <w:rPr>
          <w:rFonts w:ascii="Times New Roman" w:eastAsia="Times New Roman" w:hAnsi="Times New Roman" w:cs="Times New Roman"/>
          <w:kern w:val="0"/>
        </w:rPr>
        <w:t>Rufayie</w:t>
      </w:r>
      <w:proofErr w:type="spellEnd"/>
      <w:r w:rsidRPr="00A5643D">
        <w:rPr>
          <w:rFonts w:ascii="Times New Roman" w:eastAsia="Times New Roman" w:hAnsi="Times New Roman" w:cs="Times New Roman"/>
          <w:kern w:val="0"/>
        </w:rPr>
        <w:t xml:space="preserve"> M, et al. Cost-utility analysis of oxybutynin vs. </w:t>
      </w:r>
      <w:proofErr w:type="spellStart"/>
      <w:r w:rsidRPr="00A5643D">
        <w:rPr>
          <w:rFonts w:ascii="Times New Roman" w:eastAsia="Times New Roman" w:hAnsi="Times New Roman" w:cs="Times New Roman"/>
          <w:kern w:val="0"/>
        </w:rPr>
        <w:t>onabotulinumtoxinA</w:t>
      </w:r>
      <w:proofErr w:type="spellEnd"/>
      <w:r w:rsidRPr="00A5643D">
        <w:rPr>
          <w:rFonts w:ascii="Times New Roman" w:eastAsia="Times New Roman" w:hAnsi="Times New Roman" w:cs="Times New Roman"/>
          <w:kern w:val="0"/>
        </w:rPr>
        <w:t xml:space="preserve"> (Botox) in the treatment of overactive bladder syndrome. </w:t>
      </w:r>
      <w:r w:rsidRPr="00A5643D">
        <w:rPr>
          <w:rFonts w:ascii="Times New Roman" w:eastAsia="Times New Roman" w:hAnsi="Times New Roman" w:cs="Times New Roman"/>
          <w:i/>
          <w:iCs/>
          <w:kern w:val="0"/>
        </w:rPr>
        <w:t>Int J Environ Res Public Health.</w:t>
      </w:r>
      <w:r w:rsidRPr="00A5643D">
        <w:rPr>
          <w:rFonts w:ascii="Times New Roman" w:eastAsia="Times New Roman" w:hAnsi="Times New Roman" w:cs="Times New Roman"/>
          <w:kern w:val="0"/>
        </w:rPr>
        <w:t> 2021;18(17):9157.</w:t>
      </w:r>
    </w:p>
    <w:p w14:paraId="491A9BE7" w14:textId="77777777" w:rsidR="007B1516" w:rsidRPr="00A5643D" w:rsidRDefault="007B1516" w:rsidP="00A5643D">
      <w:pPr>
        <w:rPr>
          <w:rFonts w:ascii="Times New Roman" w:eastAsia="Times New Roman" w:hAnsi="Times New Roman" w:cs="Times New Roman"/>
          <w:kern w:val="0"/>
        </w:rPr>
      </w:pPr>
    </w:p>
    <w:p w14:paraId="3F827E6B" w14:textId="54CB1058"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 xml:space="preserve">Shepherd JP, Carter-Brooks CM, </w:t>
      </w:r>
      <w:proofErr w:type="spellStart"/>
      <w:r w:rsidRPr="00A5643D">
        <w:rPr>
          <w:rFonts w:ascii="Times New Roman" w:eastAsia="Times New Roman" w:hAnsi="Times New Roman" w:cs="Times New Roman"/>
          <w:kern w:val="0"/>
        </w:rPr>
        <w:t>Chermansky</w:t>
      </w:r>
      <w:proofErr w:type="spellEnd"/>
      <w:r w:rsidRPr="00A5643D">
        <w:rPr>
          <w:rFonts w:ascii="Times New Roman" w:eastAsia="Times New Roman" w:hAnsi="Times New Roman" w:cs="Times New Roman"/>
          <w:kern w:val="0"/>
        </w:rPr>
        <w:t xml:space="preserve"> C. A cost-effectiveness analysis of </w:t>
      </w:r>
      <w:proofErr w:type="spellStart"/>
      <w:r w:rsidRPr="00A5643D">
        <w:rPr>
          <w:rFonts w:ascii="Times New Roman" w:eastAsia="Times New Roman" w:hAnsi="Times New Roman" w:cs="Times New Roman"/>
          <w:kern w:val="0"/>
        </w:rPr>
        <w:t>onabotulinumtoxinA</w:t>
      </w:r>
      <w:proofErr w:type="spellEnd"/>
      <w:r w:rsidRPr="00A5643D">
        <w:rPr>
          <w:rFonts w:ascii="Times New Roman" w:eastAsia="Times New Roman" w:hAnsi="Times New Roman" w:cs="Times New Roman"/>
          <w:kern w:val="0"/>
        </w:rPr>
        <w:t xml:space="preserve"> as first-line treatment for overactive bladder. </w:t>
      </w:r>
      <w:r w:rsidRPr="00A5643D">
        <w:rPr>
          <w:rFonts w:ascii="Times New Roman" w:eastAsia="Times New Roman" w:hAnsi="Times New Roman" w:cs="Times New Roman"/>
          <w:i/>
          <w:iCs/>
          <w:kern w:val="0"/>
        </w:rPr>
        <w:t xml:space="preserve">Int </w:t>
      </w:r>
      <w:proofErr w:type="spellStart"/>
      <w:r w:rsidRPr="00A5643D">
        <w:rPr>
          <w:rFonts w:ascii="Times New Roman" w:eastAsia="Times New Roman" w:hAnsi="Times New Roman" w:cs="Times New Roman"/>
          <w:i/>
          <w:iCs/>
          <w:kern w:val="0"/>
        </w:rPr>
        <w:t>Urogynecol</w:t>
      </w:r>
      <w:proofErr w:type="spellEnd"/>
      <w:r w:rsidRPr="00A5643D">
        <w:rPr>
          <w:rFonts w:ascii="Times New Roman" w:eastAsia="Times New Roman" w:hAnsi="Times New Roman" w:cs="Times New Roman"/>
          <w:i/>
          <w:iCs/>
          <w:kern w:val="0"/>
        </w:rPr>
        <w:t xml:space="preserve"> J.</w:t>
      </w:r>
      <w:r w:rsidRPr="00A5643D">
        <w:rPr>
          <w:rFonts w:ascii="Times New Roman" w:eastAsia="Times New Roman" w:hAnsi="Times New Roman" w:cs="Times New Roman"/>
          <w:kern w:val="0"/>
        </w:rPr>
        <w:t> 2018;29(4):571–579.</w:t>
      </w:r>
    </w:p>
    <w:p w14:paraId="377E857A" w14:textId="77777777" w:rsidR="007B1516" w:rsidRPr="00A5643D" w:rsidRDefault="007B1516" w:rsidP="00A5643D">
      <w:pPr>
        <w:rPr>
          <w:rFonts w:ascii="Times New Roman" w:eastAsia="Times New Roman" w:hAnsi="Times New Roman" w:cs="Times New Roman"/>
          <w:kern w:val="0"/>
        </w:rPr>
      </w:pPr>
    </w:p>
    <w:p w14:paraId="0C389216" w14:textId="6858CF3D"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O’Reilly N, Nelson HD, Conry JM, et al. Screening for urinary incontinence in women: a recommendation from the Women’s Preventive Services Initiative. </w:t>
      </w:r>
      <w:r w:rsidRPr="00A5643D">
        <w:rPr>
          <w:rFonts w:ascii="Times New Roman" w:eastAsia="Times New Roman" w:hAnsi="Times New Roman" w:cs="Times New Roman"/>
          <w:i/>
          <w:iCs/>
          <w:kern w:val="0"/>
        </w:rPr>
        <w:t>Ann Intern Med.</w:t>
      </w:r>
      <w:r w:rsidRPr="00A5643D">
        <w:rPr>
          <w:rFonts w:ascii="Times New Roman" w:eastAsia="Times New Roman" w:hAnsi="Times New Roman" w:cs="Times New Roman"/>
          <w:kern w:val="0"/>
        </w:rPr>
        <w:t> 2018;169(7):474–480.</w:t>
      </w:r>
    </w:p>
    <w:p w14:paraId="46DC6143" w14:textId="77777777" w:rsidR="007B1516" w:rsidRPr="00A5643D" w:rsidRDefault="007B1516" w:rsidP="00A5643D">
      <w:pPr>
        <w:rPr>
          <w:rFonts w:ascii="Times New Roman" w:eastAsia="Times New Roman" w:hAnsi="Times New Roman" w:cs="Times New Roman"/>
          <w:kern w:val="0"/>
        </w:rPr>
      </w:pPr>
    </w:p>
    <w:p w14:paraId="714906D8" w14:textId="1A0D9055"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 xml:space="preserve">Qaseem A, Dallas P, </w:t>
      </w:r>
      <w:proofErr w:type="spellStart"/>
      <w:r w:rsidRPr="00A5643D">
        <w:rPr>
          <w:rFonts w:ascii="Times New Roman" w:eastAsia="Times New Roman" w:hAnsi="Times New Roman" w:cs="Times New Roman"/>
          <w:kern w:val="0"/>
        </w:rPr>
        <w:t>Forciea</w:t>
      </w:r>
      <w:proofErr w:type="spellEnd"/>
      <w:r w:rsidRPr="00A5643D">
        <w:rPr>
          <w:rFonts w:ascii="Times New Roman" w:eastAsia="Times New Roman" w:hAnsi="Times New Roman" w:cs="Times New Roman"/>
          <w:kern w:val="0"/>
        </w:rPr>
        <w:t xml:space="preserve"> MA, et al. Nonsurgical management of urinary incontinence in women: a clinical practice guideline from the American College of Physicians. </w:t>
      </w:r>
      <w:r w:rsidRPr="00A5643D">
        <w:rPr>
          <w:rFonts w:ascii="Times New Roman" w:eastAsia="Times New Roman" w:hAnsi="Times New Roman" w:cs="Times New Roman"/>
          <w:i/>
          <w:iCs/>
          <w:kern w:val="0"/>
        </w:rPr>
        <w:t>Ann Intern Med.</w:t>
      </w:r>
      <w:r w:rsidRPr="00A5643D">
        <w:rPr>
          <w:rFonts w:ascii="Times New Roman" w:eastAsia="Times New Roman" w:hAnsi="Times New Roman" w:cs="Times New Roman"/>
          <w:kern w:val="0"/>
        </w:rPr>
        <w:t> 2014;161(6):429–440.</w:t>
      </w:r>
    </w:p>
    <w:p w14:paraId="0BCB0B71" w14:textId="77777777" w:rsidR="007B1516" w:rsidRPr="00A5643D" w:rsidRDefault="007B1516" w:rsidP="00A5643D">
      <w:pPr>
        <w:rPr>
          <w:rFonts w:ascii="Times New Roman" w:eastAsia="Times New Roman" w:hAnsi="Times New Roman" w:cs="Times New Roman"/>
          <w:kern w:val="0"/>
        </w:rPr>
      </w:pPr>
    </w:p>
    <w:p w14:paraId="199876CB" w14:textId="75C27448"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 xml:space="preserve">Dmochowski R, Chapple C, Nitti VW, et al. Efficacy and safety of </w:t>
      </w:r>
      <w:proofErr w:type="spellStart"/>
      <w:r w:rsidRPr="00A5643D">
        <w:rPr>
          <w:rFonts w:ascii="Times New Roman" w:eastAsia="Times New Roman" w:hAnsi="Times New Roman" w:cs="Times New Roman"/>
          <w:kern w:val="0"/>
        </w:rPr>
        <w:t>onabotulinumtoxinA</w:t>
      </w:r>
      <w:proofErr w:type="spellEnd"/>
      <w:r w:rsidRPr="00A5643D">
        <w:rPr>
          <w:rFonts w:ascii="Times New Roman" w:eastAsia="Times New Roman" w:hAnsi="Times New Roman" w:cs="Times New Roman"/>
          <w:kern w:val="0"/>
        </w:rPr>
        <w:t xml:space="preserve"> for idiopathic overactive bladder: a double-blind, placebo-controlled, randomized, dose-ranging trial. </w:t>
      </w:r>
      <w:r w:rsidRPr="00A5643D">
        <w:rPr>
          <w:rFonts w:ascii="Times New Roman" w:eastAsia="Times New Roman" w:hAnsi="Times New Roman" w:cs="Times New Roman"/>
          <w:i/>
          <w:iCs/>
          <w:kern w:val="0"/>
        </w:rPr>
        <w:t>J Urol.</w:t>
      </w:r>
      <w:r w:rsidRPr="00A5643D">
        <w:rPr>
          <w:rFonts w:ascii="Times New Roman" w:eastAsia="Times New Roman" w:hAnsi="Times New Roman" w:cs="Times New Roman"/>
          <w:kern w:val="0"/>
        </w:rPr>
        <w:t> 2010;184(6):2416–2422.</w:t>
      </w:r>
    </w:p>
    <w:p w14:paraId="394D8BC9" w14:textId="77777777" w:rsidR="007B1516" w:rsidRPr="00A5643D" w:rsidRDefault="007B1516" w:rsidP="00A5643D">
      <w:pPr>
        <w:rPr>
          <w:rFonts w:ascii="Times New Roman" w:eastAsia="Times New Roman" w:hAnsi="Times New Roman" w:cs="Times New Roman"/>
          <w:kern w:val="0"/>
        </w:rPr>
      </w:pPr>
    </w:p>
    <w:p w14:paraId="091219FF" w14:textId="3FF3E2F8"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 xml:space="preserve">Doherty A, Hennessey DB, </w:t>
      </w:r>
      <w:proofErr w:type="spellStart"/>
      <w:r w:rsidRPr="00A5643D">
        <w:rPr>
          <w:rFonts w:ascii="Times New Roman" w:eastAsia="Times New Roman" w:hAnsi="Times New Roman" w:cs="Times New Roman"/>
          <w:kern w:val="0"/>
        </w:rPr>
        <w:t>Onggo</w:t>
      </w:r>
      <w:proofErr w:type="spellEnd"/>
      <w:r w:rsidRPr="00A5643D">
        <w:rPr>
          <w:rFonts w:ascii="Times New Roman" w:eastAsia="Times New Roman" w:hAnsi="Times New Roman" w:cs="Times New Roman"/>
          <w:kern w:val="0"/>
        </w:rPr>
        <w:t xml:space="preserve"> JR, Ranasinghe W, Gani J. Modifications to botulinum toxin A delivery in the management of detrusor overactivity recalcitrant to initial injections: a review. </w:t>
      </w:r>
      <w:r w:rsidRPr="00A5643D">
        <w:rPr>
          <w:rFonts w:ascii="Times New Roman" w:eastAsia="Times New Roman" w:hAnsi="Times New Roman" w:cs="Times New Roman"/>
          <w:i/>
          <w:iCs/>
          <w:kern w:val="0"/>
        </w:rPr>
        <w:t>World J Urol.</w:t>
      </w:r>
      <w:r w:rsidRPr="00A5643D">
        <w:rPr>
          <w:rFonts w:ascii="Times New Roman" w:eastAsia="Times New Roman" w:hAnsi="Times New Roman" w:cs="Times New Roman"/>
          <w:kern w:val="0"/>
        </w:rPr>
        <w:t> 2019;37(10):2205–2215.</w:t>
      </w:r>
    </w:p>
    <w:p w14:paraId="4B6BD7FE" w14:textId="77777777" w:rsidR="007B1516" w:rsidRPr="00A5643D" w:rsidRDefault="007B1516" w:rsidP="00A5643D">
      <w:pPr>
        <w:rPr>
          <w:rFonts w:ascii="Times New Roman" w:eastAsia="Times New Roman" w:hAnsi="Times New Roman" w:cs="Times New Roman"/>
          <w:kern w:val="0"/>
        </w:rPr>
      </w:pPr>
    </w:p>
    <w:p w14:paraId="167C13B8" w14:textId="0A5724D4"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Duthie JB, Vincent M, Herbison GP, Wilson DI, Wilson D. Botulinum toxin injections for adults with overactive bladder syndrome. </w:t>
      </w:r>
      <w:r w:rsidRPr="00A5643D">
        <w:rPr>
          <w:rFonts w:ascii="Times New Roman" w:eastAsia="Times New Roman" w:hAnsi="Times New Roman" w:cs="Times New Roman"/>
          <w:i/>
          <w:iCs/>
          <w:kern w:val="0"/>
        </w:rPr>
        <w:t>Cochrane Database Syst Rev.</w:t>
      </w:r>
      <w:r w:rsidRPr="00A5643D">
        <w:rPr>
          <w:rFonts w:ascii="Times New Roman" w:eastAsia="Times New Roman" w:hAnsi="Times New Roman" w:cs="Times New Roman"/>
          <w:kern w:val="0"/>
        </w:rPr>
        <w:t> 2011;(12):CD005493.</w:t>
      </w:r>
    </w:p>
    <w:p w14:paraId="4A48747B" w14:textId="77777777" w:rsidR="007B1516" w:rsidRPr="00A5643D" w:rsidRDefault="007B1516" w:rsidP="00A5643D">
      <w:pPr>
        <w:rPr>
          <w:rFonts w:ascii="Times New Roman" w:eastAsia="Times New Roman" w:hAnsi="Times New Roman" w:cs="Times New Roman"/>
          <w:kern w:val="0"/>
        </w:rPr>
      </w:pPr>
    </w:p>
    <w:p w14:paraId="310D49A5" w14:textId="4C2C9F99"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Serchen J, Johnson D, Cline K, et al. Improving health and health care in rural communities: a position paper from the American College of Physicians. </w:t>
      </w:r>
      <w:r w:rsidRPr="00A5643D">
        <w:rPr>
          <w:rFonts w:ascii="Times New Roman" w:eastAsia="Times New Roman" w:hAnsi="Times New Roman" w:cs="Times New Roman"/>
          <w:i/>
          <w:iCs/>
          <w:kern w:val="0"/>
        </w:rPr>
        <w:t>Ann Intern Med.</w:t>
      </w:r>
      <w:r w:rsidRPr="00A5643D">
        <w:rPr>
          <w:rFonts w:ascii="Times New Roman" w:eastAsia="Times New Roman" w:hAnsi="Times New Roman" w:cs="Times New Roman"/>
          <w:kern w:val="0"/>
        </w:rPr>
        <w:t> 2025;178(1):ITC1–ITC16.</w:t>
      </w:r>
    </w:p>
    <w:p w14:paraId="79055EB6" w14:textId="77777777" w:rsidR="007B1516" w:rsidRPr="00A5643D" w:rsidRDefault="007B1516" w:rsidP="00A5643D">
      <w:pPr>
        <w:rPr>
          <w:rFonts w:ascii="Times New Roman" w:eastAsia="Times New Roman" w:hAnsi="Times New Roman" w:cs="Times New Roman"/>
          <w:kern w:val="0"/>
        </w:rPr>
      </w:pPr>
    </w:p>
    <w:p w14:paraId="65CF0393" w14:textId="66F38E77" w:rsidR="00A5643D" w:rsidRPr="007B1516" w:rsidRDefault="00A5643D" w:rsidP="00A5643D">
      <w:pPr>
        <w:rPr>
          <w:rFonts w:ascii="Times New Roman" w:eastAsia="Times New Roman" w:hAnsi="Times New Roman" w:cs="Times New Roman"/>
          <w:kern w:val="0"/>
        </w:rPr>
      </w:pPr>
      <w:proofErr w:type="spellStart"/>
      <w:r w:rsidRPr="00A5643D">
        <w:rPr>
          <w:rFonts w:ascii="Times New Roman" w:eastAsia="Times New Roman" w:hAnsi="Times New Roman" w:cs="Times New Roman"/>
          <w:kern w:val="0"/>
        </w:rPr>
        <w:t>Kaboli</w:t>
      </w:r>
      <w:proofErr w:type="spellEnd"/>
      <w:r w:rsidRPr="00A5643D">
        <w:rPr>
          <w:rFonts w:ascii="Times New Roman" w:eastAsia="Times New Roman" w:hAnsi="Times New Roman" w:cs="Times New Roman"/>
          <w:kern w:val="0"/>
        </w:rPr>
        <w:t xml:space="preserve"> P, Blaine A, Mares J, et al. Health care access from the rural perspective: a narrative review. </w:t>
      </w:r>
      <w:r w:rsidRPr="00A5643D">
        <w:rPr>
          <w:rFonts w:ascii="Times New Roman" w:eastAsia="Times New Roman" w:hAnsi="Times New Roman" w:cs="Times New Roman"/>
          <w:i/>
          <w:iCs/>
          <w:kern w:val="0"/>
        </w:rPr>
        <w:t>J Rural Health.</w:t>
      </w:r>
      <w:r w:rsidRPr="00A5643D">
        <w:rPr>
          <w:rFonts w:ascii="Times New Roman" w:eastAsia="Times New Roman" w:hAnsi="Times New Roman" w:cs="Times New Roman"/>
          <w:kern w:val="0"/>
        </w:rPr>
        <w:t>2026;42(1):xx–xx.</w:t>
      </w:r>
    </w:p>
    <w:p w14:paraId="0E90906D" w14:textId="77777777" w:rsidR="007B1516" w:rsidRPr="00A5643D" w:rsidRDefault="007B1516" w:rsidP="00A5643D">
      <w:pPr>
        <w:rPr>
          <w:rFonts w:ascii="Times New Roman" w:eastAsia="Times New Roman" w:hAnsi="Times New Roman" w:cs="Times New Roman"/>
          <w:kern w:val="0"/>
        </w:rPr>
      </w:pPr>
    </w:p>
    <w:p w14:paraId="51C906ED" w14:textId="28AD5BED"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Golembiewski EH, Gravholt DL, Torres Roldan VD, et al. Rural patient experiences of accessing care for chronic conditions: a systematic review and thematic synthesis of qualitative studies. </w:t>
      </w:r>
      <w:r w:rsidRPr="00A5643D">
        <w:rPr>
          <w:rFonts w:ascii="Times New Roman" w:eastAsia="Times New Roman" w:hAnsi="Times New Roman" w:cs="Times New Roman"/>
          <w:i/>
          <w:iCs/>
          <w:kern w:val="0"/>
        </w:rPr>
        <w:t>Ann Fam Med.</w:t>
      </w:r>
      <w:r w:rsidRPr="00A5643D">
        <w:rPr>
          <w:rFonts w:ascii="Times New Roman" w:eastAsia="Times New Roman" w:hAnsi="Times New Roman" w:cs="Times New Roman"/>
          <w:kern w:val="0"/>
        </w:rPr>
        <w:t> 2022;20(3):261–270.</w:t>
      </w:r>
    </w:p>
    <w:p w14:paraId="5C27F211" w14:textId="77777777" w:rsidR="007B1516" w:rsidRPr="00A5643D" w:rsidRDefault="007B1516" w:rsidP="00A5643D">
      <w:pPr>
        <w:rPr>
          <w:rFonts w:ascii="Times New Roman" w:eastAsia="Times New Roman" w:hAnsi="Times New Roman" w:cs="Times New Roman"/>
          <w:kern w:val="0"/>
        </w:rPr>
      </w:pPr>
    </w:p>
    <w:p w14:paraId="281B9AD9" w14:textId="1DAC4DC5" w:rsidR="00A5643D" w:rsidRPr="007B1516" w:rsidRDefault="00A5643D" w:rsidP="00A5643D">
      <w:pPr>
        <w:rPr>
          <w:rFonts w:ascii="Times New Roman" w:eastAsia="Times New Roman" w:hAnsi="Times New Roman" w:cs="Times New Roman"/>
          <w:kern w:val="0"/>
        </w:rPr>
      </w:pPr>
      <w:proofErr w:type="spellStart"/>
      <w:r w:rsidRPr="00A5643D">
        <w:rPr>
          <w:rFonts w:ascii="Times New Roman" w:eastAsia="Times New Roman" w:hAnsi="Times New Roman" w:cs="Times New Roman"/>
          <w:kern w:val="0"/>
        </w:rPr>
        <w:t>Vesentini</w:t>
      </w:r>
      <w:proofErr w:type="spellEnd"/>
      <w:r w:rsidRPr="00A5643D">
        <w:rPr>
          <w:rFonts w:ascii="Times New Roman" w:eastAsia="Times New Roman" w:hAnsi="Times New Roman" w:cs="Times New Roman"/>
          <w:kern w:val="0"/>
        </w:rPr>
        <w:t xml:space="preserve"> G, O’Connor N, Le Berre M, et al. Interventions for treating urinary incontinence in older women: a network meta-analysis. </w:t>
      </w:r>
      <w:r w:rsidRPr="00A5643D">
        <w:rPr>
          <w:rFonts w:ascii="Times New Roman" w:eastAsia="Times New Roman" w:hAnsi="Times New Roman" w:cs="Times New Roman"/>
          <w:i/>
          <w:iCs/>
          <w:kern w:val="0"/>
        </w:rPr>
        <w:t>Cochrane Database Syst Rev.</w:t>
      </w:r>
      <w:r w:rsidRPr="00A5643D">
        <w:rPr>
          <w:rFonts w:ascii="Times New Roman" w:eastAsia="Times New Roman" w:hAnsi="Times New Roman" w:cs="Times New Roman"/>
          <w:kern w:val="0"/>
        </w:rPr>
        <w:t> 2025;1:CD013xx.</w:t>
      </w:r>
    </w:p>
    <w:p w14:paraId="07CFFFFA" w14:textId="77777777" w:rsidR="007B1516" w:rsidRPr="00A5643D" w:rsidRDefault="007B1516" w:rsidP="00A5643D">
      <w:pPr>
        <w:rPr>
          <w:rFonts w:ascii="Times New Roman" w:eastAsia="Times New Roman" w:hAnsi="Times New Roman" w:cs="Times New Roman"/>
          <w:kern w:val="0"/>
        </w:rPr>
      </w:pPr>
    </w:p>
    <w:p w14:paraId="46104E20" w14:textId="76303AA8" w:rsidR="00A5643D" w:rsidRPr="007B1516" w:rsidRDefault="00A5643D" w:rsidP="00A5643D">
      <w:pPr>
        <w:rPr>
          <w:rFonts w:ascii="Times New Roman" w:eastAsia="Times New Roman" w:hAnsi="Times New Roman" w:cs="Times New Roman"/>
          <w:kern w:val="0"/>
        </w:rPr>
      </w:pPr>
      <w:r w:rsidRPr="00A5643D">
        <w:rPr>
          <w:rFonts w:ascii="Times New Roman" w:eastAsia="Times New Roman" w:hAnsi="Times New Roman" w:cs="Times New Roman"/>
          <w:kern w:val="0"/>
        </w:rPr>
        <w:t>Lukacz ES, Santiago-Lastra Y, Albo ME, Brubaker L. Urinary incontinence in women: a review. </w:t>
      </w:r>
      <w:r w:rsidRPr="00A5643D">
        <w:rPr>
          <w:rFonts w:ascii="Times New Roman" w:eastAsia="Times New Roman" w:hAnsi="Times New Roman" w:cs="Times New Roman"/>
          <w:i/>
          <w:iCs/>
          <w:kern w:val="0"/>
        </w:rPr>
        <w:t>JAMA.</w:t>
      </w:r>
      <w:r w:rsidRPr="00A5643D">
        <w:rPr>
          <w:rFonts w:ascii="Times New Roman" w:eastAsia="Times New Roman" w:hAnsi="Times New Roman" w:cs="Times New Roman"/>
          <w:kern w:val="0"/>
        </w:rPr>
        <w:t>2017;318(16):1592–1604.</w:t>
      </w:r>
    </w:p>
    <w:p w14:paraId="21D303FA" w14:textId="77777777" w:rsidR="007B1516" w:rsidRPr="00A5643D" w:rsidRDefault="007B1516" w:rsidP="00A5643D">
      <w:pPr>
        <w:rPr>
          <w:rFonts w:ascii="Times New Roman" w:eastAsia="Times New Roman" w:hAnsi="Times New Roman" w:cs="Times New Roman"/>
          <w:kern w:val="0"/>
        </w:rPr>
      </w:pPr>
    </w:p>
    <w:p w14:paraId="68D18A40" w14:textId="09E2D3A5" w:rsidR="008D4F91" w:rsidRPr="007B1516" w:rsidRDefault="00A5643D" w:rsidP="00A5643D">
      <w:pPr>
        <w:rPr>
          <w:rFonts w:ascii="Times New Roman" w:eastAsia="Times New Roman" w:hAnsi="Times New Roman" w:cs="Times New Roman"/>
          <w:kern w:val="0"/>
        </w:rPr>
      </w:pPr>
      <w:r w:rsidRPr="007B1516">
        <w:rPr>
          <w:rFonts w:ascii="Times New Roman" w:eastAsia="Times New Roman" w:hAnsi="Times New Roman" w:cs="Times New Roman"/>
          <w:kern w:val="0"/>
        </w:rPr>
        <w:t xml:space="preserve">El-Gharib AK, </w:t>
      </w:r>
      <w:proofErr w:type="spellStart"/>
      <w:r w:rsidRPr="007B1516">
        <w:rPr>
          <w:rFonts w:ascii="Times New Roman" w:eastAsia="Times New Roman" w:hAnsi="Times New Roman" w:cs="Times New Roman"/>
          <w:kern w:val="0"/>
        </w:rPr>
        <w:t>Manzour</w:t>
      </w:r>
      <w:proofErr w:type="spellEnd"/>
      <w:r w:rsidRPr="007B1516">
        <w:rPr>
          <w:rFonts w:ascii="Times New Roman" w:eastAsia="Times New Roman" w:hAnsi="Times New Roman" w:cs="Times New Roman"/>
          <w:kern w:val="0"/>
        </w:rPr>
        <w:t xml:space="preserve"> AF, El-Mallah R, El Said SMS. Impact of urinary incontinence on physical performance and quality of life among elderly individuals in Cairo. </w:t>
      </w:r>
      <w:r w:rsidRPr="007B1516">
        <w:rPr>
          <w:rFonts w:ascii="Times New Roman" w:eastAsia="Times New Roman" w:hAnsi="Times New Roman" w:cs="Times New Roman"/>
          <w:i/>
          <w:iCs/>
          <w:kern w:val="0"/>
        </w:rPr>
        <w:t xml:space="preserve">Int J Clin </w:t>
      </w:r>
      <w:proofErr w:type="spellStart"/>
      <w:r w:rsidRPr="007B1516">
        <w:rPr>
          <w:rFonts w:ascii="Times New Roman" w:eastAsia="Times New Roman" w:hAnsi="Times New Roman" w:cs="Times New Roman"/>
          <w:i/>
          <w:iCs/>
          <w:kern w:val="0"/>
        </w:rPr>
        <w:t>Pract</w:t>
      </w:r>
      <w:proofErr w:type="spellEnd"/>
      <w:r w:rsidRPr="007B1516">
        <w:rPr>
          <w:rFonts w:ascii="Times New Roman" w:eastAsia="Times New Roman" w:hAnsi="Times New Roman" w:cs="Times New Roman"/>
          <w:i/>
          <w:iCs/>
          <w:kern w:val="0"/>
        </w:rPr>
        <w:t>.</w:t>
      </w:r>
      <w:r w:rsidRPr="007B1516">
        <w:rPr>
          <w:rFonts w:ascii="Times New Roman" w:eastAsia="Times New Roman" w:hAnsi="Times New Roman" w:cs="Times New Roman"/>
          <w:kern w:val="0"/>
        </w:rPr>
        <w:t> 2021;75(4):e13959.</w:t>
      </w:r>
    </w:p>
    <w:p w14:paraId="6247C0F5" w14:textId="77777777" w:rsidR="007B1516" w:rsidRPr="007B1516" w:rsidRDefault="007B1516" w:rsidP="00A5643D">
      <w:pPr>
        <w:rPr>
          <w:rFonts w:ascii="Times New Roman" w:eastAsia="Times New Roman" w:hAnsi="Times New Roman" w:cs="Times New Roman"/>
          <w:kern w:val="0"/>
        </w:rPr>
      </w:pPr>
    </w:p>
    <w:p w14:paraId="49249666" w14:textId="1BAA98F4" w:rsidR="007B1516" w:rsidRDefault="007B1516" w:rsidP="00A5643D">
      <w:pPr>
        <w:rPr>
          <w:rFonts w:ascii="Times New Roman" w:hAnsi="Times New Roman" w:cs="Times New Roman"/>
          <w:spacing w:val="2"/>
          <w:shd w:val="clear" w:color="auto" w:fill="FFFFFF"/>
        </w:rPr>
      </w:pPr>
      <w:r w:rsidRPr="007B1516">
        <w:rPr>
          <w:rFonts w:ascii="Times New Roman" w:hAnsi="Times New Roman" w:cs="Times New Roman"/>
          <w:spacing w:val="2"/>
          <w:shd w:val="clear" w:color="auto" w:fill="FFFFFF"/>
        </w:rPr>
        <w:t xml:space="preserve">Murray B, Miles-Thomas J, Park AJ, Nguyen VB, Tung A, Gillard P, Lalla A, Nitti VW, </w:t>
      </w:r>
      <w:proofErr w:type="spellStart"/>
      <w:r w:rsidRPr="007B1516">
        <w:rPr>
          <w:rFonts w:ascii="Times New Roman" w:hAnsi="Times New Roman" w:cs="Times New Roman"/>
          <w:spacing w:val="2"/>
          <w:shd w:val="clear" w:color="auto" w:fill="FFFFFF"/>
        </w:rPr>
        <w:t>Chermansky</w:t>
      </w:r>
      <w:proofErr w:type="spellEnd"/>
      <w:r w:rsidRPr="007B1516">
        <w:rPr>
          <w:rFonts w:ascii="Times New Roman" w:hAnsi="Times New Roman" w:cs="Times New Roman"/>
          <w:spacing w:val="2"/>
          <w:shd w:val="clear" w:color="auto" w:fill="FFFFFF"/>
        </w:rPr>
        <w:t xml:space="preserve"> CJ. Cost-effectiveness of overactive bladder treatments from a US commercial and payer perspective. J Comp Eff Res. 2023 Feb;12(2):e220089.</w:t>
      </w:r>
    </w:p>
    <w:p w14:paraId="553275E2" w14:textId="77777777" w:rsidR="007B1516" w:rsidRDefault="007B1516" w:rsidP="00A5643D">
      <w:pPr>
        <w:rPr>
          <w:rFonts w:ascii="Times New Roman" w:eastAsia="Times New Roman" w:hAnsi="Times New Roman" w:cs="Times New Roman"/>
          <w:spacing w:val="3"/>
          <w:kern w:val="0"/>
        </w:rPr>
      </w:pPr>
    </w:p>
    <w:p w14:paraId="6513CAC2" w14:textId="667297B2" w:rsidR="007B1516" w:rsidRDefault="007B1516" w:rsidP="00A5643D">
      <w:pPr>
        <w:rPr>
          <w:rFonts w:ascii="Times New Roman" w:eastAsia="Times New Roman" w:hAnsi="Times New Roman" w:cs="Times New Roman"/>
          <w:spacing w:val="2"/>
          <w:kern w:val="0"/>
        </w:rPr>
      </w:pPr>
      <w:r w:rsidRPr="007B1516">
        <w:rPr>
          <w:rFonts w:ascii="Times New Roman" w:eastAsia="Times New Roman" w:hAnsi="Times New Roman" w:cs="Times New Roman"/>
          <w:spacing w:val="2"/>
          <w:kern w:val="0"/>
        </w:rPr>
        <w:t xml:space="preserve">Leong RK, de Wachter SG, </w:t>
      </w:r>
      <w:proofErr w:type="spellStart"/>
      <w:r w:rsidRPr="007B1516">
        <w:rPr>
          <w:rFonts w:ascii="Times New Roman" w:eastAsia="Times New Roman" w:hAnsi="Times New Roman" w:cs="Times New Roman"/>
          <w:spacing w:val="2"/>
          <w:kern w:val="0"/>
        </w:rPr>
        <w:t>Joore</w:t>
      </w:r>
      <w:proofErr w:type="spellEnd"/>
      <w:r w:rsidRPr="007B1516">
        <w:rPr>
          <w:rFonts w:ascii="Times New Roman" w:eastAsia="Times New Roman" w:hAnsi="Times New Roman" w:cs="Times New Roman"/>
          <w:spacing w:val="2"/>
          <w:kern w:val="0"/>
        </w:rPr>
        <w:t xml:space="preserve"> MA, van </w:t>
      </w:r>
      <w:proofErr w:type="spellStart"/>
      <w:r w:rsidRPr="007B1516">
        <w:rPr>
          <w:rFonts w:ascii="Times New Roman" w:eastAsia="Times New Roman" w:hAnsi="Times New Roman" w:cs="Times New Roman"/>
          <w:spacing w:val="2"/>
          <w:kern w:val="0"/>
        </w:rPr>
        <w:t>Kerrebroeck</w:t>
      </w:r>
      <w:proofErr w:type="spellEnd"/>
      <w:r w:rsidRPr="007B1516">
        <w:rPr>
          <w:rFonts w:ascii="Times New Roman" w:eastAsia="Times New Roman" w:hAnsi="Times New Roman" w:cs="Times New Roman"/>
          <w:spacing w:val="2"/>
          <w:kern w:val="0"/>
        </w:rPr>
        <w:t xml:space="preserve"> PE. Cost-effectiveness analysis of sacral neuromodulation and botulinum toxin A treatment for patients with idiopathic overactive bladder. BJU Int. 2011 Aug;108(4):558-64.</w:t>
      </w:r>
    </w:p>
    <w:p w14:paraId="6C8C178F" w14:textId="77777777" w:rsidR="007B1516" w:rsidRPr="007B1516" w:rsidRDefault="007B1516" w:rsidP="00A5643D">
      <w:pPr>
        <w:rPr>
          <w:rFonts w:ascii="Times New Roman" w:eastAsia="Times New Roman" w:hAnsi="Times New Roman" w:cs="Times New Roman"/>
          <w:spacing w:val="2"/>
          <w:kern w:val="0"/>
        </w:rPr>
      </w:pPr>
    </w:p>
    <w:p w14:paraId="446F042D" w14:textId="71FFF99A" w:rsidR="007B1516" w:rsidRDefault="007B1516" w:rsidP="00A5643D">
      <w:pPr>
        <w:rPr>
          <w:rFonts w:ascii="Times New Roman" w:hAnsi="Times New Roman" w:cs="Times New Roman"/>
          <w:spacing w:val="3"/>
        </w:rPr>
      </w:pPr>
      <w:r w:rsidRPr="007B1516">
        <w:rPr>
          <w:rFonts w:ascii="Times New Roman" w:hAnsi="Times New Roman" w:cs="Times New Roman"/>
          <w:spacing w:val="3"/>
        </w:rPr>
        <w:t xml:space="preserve">Harvie HS, Amundsen CL, </w:t>
      </w:r>
      <w:proofErr w:type="spellStart"/>
      <w:r w:rsidRPr="007B1516">
        <w:rPr>
          <w:rFonts w:ascii="Times New Roman" w:hAnsi="Times New Roman" w:cs="Times New Roman"/>
          <w:spacing w:val="3"/>
        </w:rPr>
        <w:t>Neuwahl</w:t>
      </w:r>
      <w:proofErr w:type="spellEnd"/>
      <w:r w:rsidRPr="007B1516">
        <w:rPr>
          <w:rFonts w:ascii="Times New Roman" w:hAnsi="Times New Roman" w:cs="Times New Roman"/>
          <w:spacing w:val="3"/>
        </w:rPr>
        <w:t xml:space="preserve"> SJ, Honeycutt AA, Lukacz ES, Sung VW, Rogers RG, Ellington D, Ferrando CA, </w:t>
      </w:r>
      <w:proofErr w:type="spellStart"/>
      <w:r w:rsidRPr="007B1516">
        <w:rPr>
          <w:rFonts w:ascii="Times New Roman" w:hAnsi="Times New Roman" w:cs="Times New Roman"/>
          <w:spacing w:val="3"/>
        </w:rPr>
        <w:t>Chermansky</w:t>
      </w:r>
      <w:proofErr w:type="spellEnd"/>
      <w:r w:rsidRPr="007B1516">
        <w:rPr>
          <w:rFonts w:ascii="Times New Roman" w:hAnsi="Times New Roman" w:cs="Times New Roman"/>
          <w:spacing w:val="3"/>
        </w:rPr>
        <w:t xml:space="preserve"> CJ, </w:t>
      </w:r>
      <w:proofErr w:type="spellStart"/>
      <w:r w:rsidRPr="007B1516">
        <w:rPr>
          <w:rFonts w:ascii="Times New Roman" w:hAnsi="Times New Roman" w:cs="Times New Roman"/>
          <w:spacing w:val="3"/>
        </w:rPr>
        <w:t>Mazloomdoost</w:t>
      </w:r>
      <w:proofErr w:type="spellEnd"/>
      <w:r w:rsidRPr="007B1516">
        <w:rPr>
          <w:rFonts w:ascii="Times New Roman" w:hAnsi="Times New Roman" w:cs="Times New Roman"/>
          <w:spacing w:val="3"/>
        </w:rPr>
        <w:t xml:space="preserve"> D, Thomas S. Cost-Effectiveness of Sacral Neuromodulation versus </w:t>
      </w:r>
      <w:proofErr w:type="spellStart"/>
      <w:r w:rsidRPr="007B1516">
        <w:rPr>
          <w:rFonts w:ascii="Times New Roman" w:hAnsi="Times New Roman" w:cs="Times New Roman"/>
          <w:spacing w:val="3"/>
        </w:rPr>
        <w:t>OnabotulinumtoxinA</w:t>
      </w:r>
      <w:proofErr w:type="spellEnd"/>
      <w:r w:rsidRPr="007B1516">
        <w:rPr>
          <w:rFonts w:ascii="Times New Roman" w:hAnsi="Times New Roman" w:cs="Times New Roman"/>
          <w:spacing w:val="3"/>
        </w:rPr>
        <w:t xml:space="preserve"> for Refractory Urgency Urinary Incontinence: Results of the ROSETTA Randomized Trial. J Urol. 2020 May;203(5):969-977.</w:t>
      </w:r>
    </w:p>
    <w:p w14:paraId="72938251" w14:textId="77777777" w:rsidR="00326C7D" w:rsidRDefault="00326C7D" w:rsidP="00A5643D">
      <w:pPr>
        <w:rPr>
          <w:rFonts w:ascii="Times New Roman" w:hAnsi="Times New Roman" w:cs="Times New Roman"/>
          <w:spacing w:val="3"/>
        </w:rPr>
      </w:pPr>
    </w:p>
    <w:p w14:paraId="0746CC92" w14:textId="097F9741" w:rsidR="00326C7D" w:rsidRDefault="008B7C4E" w:rsidP="00A5643D">
      <w:pPr>
        <w:rPr>
          <w:rFonts w:ascii="Times New Roman" w:hAnsi="Times New Roman" w:cs="Times New Roman"/>
          <w:spacing w:val="3"/>
        </w:rPr>
      </w:pPr>
      <w:r>
        <w:rPr>
          <w:rFonts w:ascii="Times New Roman" w:hAnsi="Times New Roman" w:cs="Times New Roman"/>
          <w:spacing w:val="3"/>
        </w:rPr>
        <w:lastRenderedPageBreak/>
        <w:t>Abdel</w:t>
      </w:r>
      <w:r w:rsidR="00E936BB">
        <w:rPr>
          <w:rFonts w:ascii="Times New Roman" w:hAnsi="Times New Roman" w:cs="Times New Roman"/>
          <w:spacing w:val="3"/>
        </w:rPr>
        <w:t>wah</w:t>
      </w:r>
      <w:r w:rsidR="00C26D15">
        <w:rPr>
          <w:rFonts w:ascii="Times New Roman" w:hAnsi="Times New Roman" w:cs="Times New Roman"/>
          <w:spacing w:val="3"/>
        </w:rPr>
        <w:t xml:space="preserve">ab O, Sherif H, Soliman T, </w:t>
      </w:r>
      <w:proofErr w:type="spellStart"/>
      <w:r w:rsidR="00C26D15">
        <w:rPr>
          <w:rFonts w:ascii="Times New Roman" w:hAnsi="Times New Roman" w:cs="Times New Roman"/>
          <w:spacing w:val="3"/>
        </w:rPr>
        <w:t>Elbarky</w:t>
      </w:r>
      <w:proofErr w:type="spellEnd"/>
      <w:r w:rsidR="00C26D15">
        <w:rPr>
          <w:rFonts w:ascii="Times New Roman" w:hAnsi="Times New Roman" w:cs="Times New Roman"/>
          <w:spacing w:val="3"/>
        </w:rPr>
        <w:t xml:space="preserve"> I, </w:t>
      </w:r>
      <w:proofErr w:type="spellStart"/>
      <w:r w:rsidR="00C26D15">
        <w:rPr>
          <w:rFonts w:ascii="Times New Roman" w:hAnsi="Times New Roman" w:cs="Times New Roman"/>
          <w:spacing w:val="3"/>
        </w:rPr>
        <w:t>Eshazly</w:t>
      </w:r>
      <w:proofErr w:type="spellEnd"/>
      <w:r w:rsidR="00C26D15">
        <w:rPr>
          <w:rFonts w:ascii="Times New Roman" w:hAnsi="Times New Roman" w:cs="Times New Roman"/>
          <w:spacing w:val="3"/>
        </w:rPr>
        <w:t xml:space="preserve"> A. </w:t>
      </w:r>
      <w:r w:rsidR="00966627">
        <w:rPr>
          <w:rFonts w:ascii="Times New Roman" w:hAnsi="Times New Roman" w:cs="Times New Roman"/>
          <w:spacing w:val="3"/>
        </w:rPr>
        <w:t xml:space="preserve">Efficacy of botulinum toxin type A 100 Units versus 200 units for treatment of refractory idiopathic overactive bladder. </w:t>
      </w:r>
      <w:r w:rsidR="00D1531A">
        <w:rPr>
          <w:rFonts w:ascii="Times New Roman" w:hAnsi="Times New Roman" w:cs="Times New Roman"/>
          <w:spacing w:val="3"/>
        </w:rPr>
        <w:t>Int Braz J Urol</w:t>
      </w:r>
      <w:r w:rsidR="00DC27A4">
        <w:rPr>
          <w:rFonts w:ascii="Times New Roman" w:hAnsi="Times New Roman" w:cs="Times New Roman"/>
          <w:spacing w:val="3"/>
        </w:rPr>
        <w:t>. 2015; 41: 1132-40.</w:t>
      </w:r>
    </w:p>
    <w:p w14:paraId="67C00E9B" w14:textId="77777777" w:rsidR="00983265" w:rsidRDefault="00983265" w:rsidP="00A5643D">
      <w:pPr>
        <w:rPr>
          <w:rFonts w:ascii="Times New Roman" w:hAnsi="Times New Roman" w:cs="Times New Roman"/>
          <w:spacing w:val="3"/>
        </w:rPr>
      </w:pPr>
    </w:p>
    <w:p w14:paraId="2407A541" w14:textId="29D60AD0" w:rsidR="00983265" w:rsidRDefault="00373FFF" w:rsidP="00A5643D">
      <w:pPr>
        <w:rPr>
          <w:rFonts w:ascii="Times New Roman" w:hAnsi="Times New Roman" w:cs="Times New Roman"/>
          <w:spacing w:val="3"/>
        </w:rPr>
      </w:pPr>
      <w:r>
        <w:rPr>
          <w:rFonts w:ascii="Times New Roman" w:hAnsi="Times New Roman" w:cs="Times New Roman"/>
          <w:spacing w:val="3"/>
        </w:rPr>
        <w:t xml:space="preserve">Amundsen CL, </w:t>
      </w:r>
      <w:r w:rsidR="00875F16">
        <w:rPr>
          <w:rFonts w:ascii="Times New Roman" w:hAnsi="Times New Roman" w:cs="Times New Roman"/>
          <w:spacing w:val="3"/>
        </w:rPr>
        <w:t xml:space="preserve">Richter HE, Menefee SA, et al.  </w:t>
      </w:r>
      <w:proofErr w:type="spellStart"/>
      <w:r w:rsidR="00875F16">
        <w:rPr>
          <w:rFonts w:ascii="Times New Roman" w:hAnsi="Times New Roman" w:cs="Times New Roman"/>
          <w:spacing w:val="3"/>
        </w:rPr>
        <w:t>Onbotu</w:t>
      </w:r>
      <w:r w:rsidR="00A6348A">
        <w:rPr>
          <w:rFonts w:ascii="Times New Roman" w:hAnsi="Times New Roman" w:cs="Times New Roman"/>
          <w:spacing w:val="3"/>
        </w:rPr>
        <w:t>linumtoxinA</w:t>
      </w:r>
      <w:proofErr w:type="spellEnd"/>
      <w:r w:rsidR="00A6348A">
        <w:rPr>
          <w:rFonts w:ascii="Times New Roman" w:hAnsi="Times New Roman" w:cs="Times New Roman"/>
          <w:spacing w:val="3"/>
        </w:rPr>
        <w:t xml:space="preserve"> vs Sacral Neuromodulation on Refractory Urgency U</w:t>
      </w:r>
      <w:r w:rsidR="002A150E">
        <w:rPr>
          <w:rFonts w:ascii="Times New Roman" w:hAnsi="Times New Roman" w:cs="Times New Roman"/>
          <w:spacing w:val="3"/>
        </w:rPr>
        <w:t>rinary Incontinence in Women. JAMA. 2016</w:t>
      </w:r>
      <w:r w:rsidR="002810C9">
        <w:rPr>
          <w:rFonts w:ascii="Times New Roman" w:hAnsi="Times New Roman" w:cs="Times New Roman"/>
          <w:spacing w:val="3"/>
        </w:rPr>
        <w:t>; 316(13): 1336-1374.</w:t>
      </w:r>
    </w:p>
    <w:p w14:paraId="7DD4BCE2" w14:textId="77777777" w:rsidR="002810C9" w:rsidRDefault="002810C9" w:rsidP="00A5643D">
      <w:pPr>
        <w:rPr>
          <w:rFonts w:ascii="Times New Roman" w:hAnsi="Times New Roman" w:cs="Times New Roman"/>
          <w:spacing w:val="3"/>
        </w:rPr>
      </w:pPr>
    </w:p>
    <w:p w14:paraId="1EB4EBC1" w14:textId="18FE37FF" w:rsidR="002810C9" w:rsidRPr="007B1516" w:rsidRDefault="002C61B7" w:rsidP="00A5643D">
      <w:pPr>
        <w:rPr>
          <w:rFonts w:ascii="Times New Roman" w:hAnsi="Times New Roman" w:cs="Times New Roman"/>
        </w:rPr>
      </w:pPr>
      <w:r>
        <w:rPr>
          <w:rFonts w:ascii="Times New Roman" w:hAnsi="Times New Roman" w:cs="Times New Roman"/>
          <w:spacing w:val="3"/>
        </w:rPr>
        <w:t xml:space="preserve">Cameron AP, Chung DE, </w:t>
      </w:r>
      <w:proofErr w:type="spellStart"/>
      <w:r>
        <w:rPr>
          <w:rFonts w:ascii="Times New Roman" w:hAnsi="Times New Roman" w:cs="Times New Roman"/>
          <w:spacing w:val="3"/>
        </w:rPr>
        <w:t>Dieluban</w:t>
      </w:r>
      <w:r w:rsidR="000E1377">
        <w:rPr>
          <w:rFonts w:ascii="Times New Roman" w:hAnsi="Times New Roman" w:cs="Times New Roman"/>
          <w:spacing w:val="3"/>
        </w:rPr>
        <w:t>za</w:t>
      </w:r>
      <w:proofErr w:type="spellEnd"/>
      <w:r w:rsidR="000E1377">
        <w:rPr>
          <w:rFonts w:ascii="Times New Roman" w:hAnsi="Times New Roman" w:cs="Times New Roman"/>
          <w:spacing w:val="3"/>
        </w:rPr>
        <w:t xml:space="preserve"> EJ et al. The AUA/SUFU Guideline on the Diagnosis and Treatment of Idiopathic Overactive Bladder (2024). </w:t>
      </w:r>
      <w:r w:rsidR="00B93E7A">
        <w:rPr>
          <w:rFonts w:ascii="Times New Roman" w:hAnsi="Times New Roman" w:cs="Times New Roman"/>
          <w:spacing w:val="3"/>
        </w:rPr>
        <w:t xml:space="preserve">J Urol. </w:t>
      </w:r>
      <w:r w:rsidR="00571332">
        <w:rPr>
          <w:rFonts w:ascii="Times New Roman" w:hAnsi="Times New Roman" w:cs="Times New Roman"/>
          <w:spacing w:val="3"/>
        </w:rPr>
        <w:t xml:space="preserve">2024; </w:t>
      </w:r>
      <w:r w:rsidR="004728AD">
        <w:rPr>
          <w:rFonts w:ascii="Times New Roman" w:hAnsi="Times New Roman" w:cs="Times New Roman"/>
          <w:spacing w:val="3"/>
        </w:rPr>
        <w:t>212 (1): 11-20.</w:t>
      </w:r>
    </w:p>
    <w:sectPr w:rsidR="002810C9" w:rsidRPr="007B1516" w:rsidSect="00145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3BD"/>
    <w:multiLevelType w:val="multilevel"/>
    <w:tmpl w:val="E6D4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FE098D"/>
    <w:multiLevelType w:val="multilevel"/>
    <w:tmpl w:val="E6D4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CE613D"/>
    <w:multiLevelType w:val="hybridMultilevel"/>
    <w:tmpl w:val="3F72554A"/>
    <w:lvl w:ilvl="0" w:tplc="600628A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6746180">
    <w:abstractNumId w:val="0"/>
  </w:num>
  <w:num w:numId="2" w16cid:durableId="1572304726">
    <w:abstractNumId w:val="2"/>
  </w:num>
  <w:num w:numId="3" w16cid:durableId="28273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91"/>
    <w:rsid w:val="000077FD"/>
    <w:rsid w:val="000128D8"/>
    <w:rsid w:val="0004164C"/>
    <w:rsid w:val="000A6CDA"/>
    <w:rsid w:val="000D7CA3"/>
    <w:rsid w:val="000E1377"/>
    <w:rsid w:val="000E7771"/>
    <w:rsid w:val="00145974"/>
    <w:rsid w:val="00167B18"/>
    <w:rsid w:val="001715A0"/>
    <w:rsid w:val="0017571C"/>
    <w:rsid w:val="00183478"/>
    <w:rsid w:val="00196A84"/>
    <w:rsid w:val="001B3ADE"/>
    <w:rsid w:val="001D4C09"/>
    <w:rsid w:val="001E7606"/>
    <w:rsid w:val="002356E3"/>
    <w:rsid w:val="002810C9"/>
    <w:rsid w:val="002A150E"/>
    <w:rsid w:val="002C5159"/>
    <w:rsid w:val="002C61B7"/>
    <w:rsid w:val="002F53E5"/>
    <w:rsid w:val="002F6634"/>
    <w:rsid w:val="0030647C"/>
    <w:rsid w:val="00312E6D"/>
    <w:rsid w:val="00326C7D"/>
    <w:rsid w:val="00336747"/>
    <w:rsid w:val="0034710B"/>
    <w:rsid w:val="00351FD2"/>
    <w:rsid w:val="003638FE"/>
    <w:rsid w:val="00373FFF"/>
    <w:rsid w:val="003936AC"/>
    <w:rsid w:val="003C6CC6"/>
    <w:rsid w:val="00441097"/>
    <w:rsid w:val="004414DC"/>
    <w:rsid w:val="00454567"/>
    <w:rsid w:val="004728AD"/>
    <w:rsid w:val="00485CAC"/>
    <w:rsid w:val="004A7700"/>
    <w:rsid w:val="004D412A"/>
    <w:rsid w:val="004F33D2"/>
    <w:rsid w:val="00521964"/>
    <w:rsid w:val="00532982"/>
    <w:rsid w:val="00536459"/>
    <w:rsid w:val="0054585F"/>
    <w:rsid w:val="00556784"/>
    <w:rsid w:val="00571332"/>
    <w:rsid w:val="005834FE"/>
    <w:rsid w:val="005932B4"/>
    <w:rsid w:val="00594890"/>
    <w:rsid w:val="00594ABA"/>
    <w:rsid w:val="005C555E"/>
    <w:rsid w:val="00600F5E"/>
    <w:rsid w:val="00647457"/>
    <w:rsid w:val="0065595D"/>
    <w:rsid w:val="00674107"/>
    <w:rsid w:val="00693ACA"/>
    <w:rsid w:val="0073327C"/>
    <w:rsid w:val="0076094B"/>
    <w:rsid w:val="007720E7"/>
    <w:rsid w:val="007B1516"/>
    <w:rsid w:val="007B48E2"/>
    <w:rsid w:val="007C1C6E"/>
    <w:rsid w:val="007D392D"/>
    <w:rsid w:val="007E71C3"/>
    <w:rsid w:val="00810835"/>
    <w:rsid w:val="0083116B"/>
    <w:rsid w:val="00833973"/>
    <w:rsid w:val="00846E7E"/>
    <w:rsid w:val="00875F16"/>
    <w:rsid w:val="0089479A"/>
    <w:rsid w:val="008B0593"/>
    <w:rsid w:val="008B7C4E"/>
    <w:rsid w:val="008D4F91"/>
    <w:rsid w:val="008E2A8B"/>
    <w:rsid w:val="008E39BD"/>
    <w:rsid w:val="00966627"/>
    <w:rsid w:val="00983265"/>
    <w:rsid w:val="009852E7"/>
    <w:rsid w:val="009A4A4E"/>
    <w:rsid w:val="009C0967"/>
    <w:rsid w:val="009C24A6"/>
    <w:rsid w:val="009E66F0"/>
    <w:rsid w:val="00A06942"/>
    <w:rsid w:val="00A12862"/>
    <w:rsid w:val="00A5643D"/>
    <w:rsid w:val="00A6348A"/>
    <w:rsid w:val="00AB0E02"/>
    <w:rsid w:val="00AD2A08"/>
    <w:rsid w:val="00B00B10"/>
    <w:rsid w:val="00B3681A"/>
    <w:rsid w:val="00B93C8A"/>
    <w:rsid w:val="00B93E7A"/>
    <w:rsid w:val="00BB2ED1"/>
    <w:rsid w:val="00BC55BC"/>
    <w:rsid w:val="00BD04EA"/>
    <w:rsid w:val="00BD3D53"/>
    <w:rsid w:val="00BD7093"/>
    <w:rsid w:val="00BF10FA"/>
    <w:rsid w:val="00C22F53"/>
    <w:rsid w:val="00C26D15"/>
    <w:rsid w:val="00C440F9"/>
    <w:rsid w:val="00C61711"/>
    <w:rsid w:val="00CB0DBA"/>
    <w:rsid w:val="00CD0008"/>
    <w:rsid w:val="00D1531A"/>
    <w:rsid w:val="00D62DF0"/>
    <w:rsid w:val="00D719D7"/>
    <w:rsid w:val="00DA2488"/>
    <w:rsid w:val="00DB3084"/>
    <w:rsid w:val="00DB3647"/>
    <w:rsid w:val="00DC27A4"/>
    <w:rsid w:val="00DC46F9"/>
    <w:rsid w:val="00E421D1"/>
    <w:rsid w:val="00E4660F"/>
    <w:rsid w:val="00E625EB"/>
    <w:rsid w:val="00E936BB"/>
    <w:rsid w:val="00EA68BF"/>
    <w:rsid w:val="00EB6B97"/>
    <w:rsid w:val="00EF0DA4"/>
    <w:rsid w:val="00F32F09"/>
    <w:rsid w:val="00F85EC7"/>
    <w:rsid w:val="00F9125B"/>
    <w:rsid w:val="00F9694E"/>
    <w:rsid w:val="00FA7EF9"/>
    <w:rsid w:val="00FB4312"/>
    <w:rsid w:val="00FC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A123"/>
  <w15:docId w15:val="{00D45E96-3914-8B40-9C2B-7634FBF2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74"/>
  </w:style>
  <w:style w:type="paragraph" w:styleId="Heading2">
    <w:name w:val="heading 2"/>
    <w:basedOn w:val="Normal"/>
    <w:link w:val="Heading2Char"/>
    <w:uiPriority w:val="9"/>
    <w:qFormat/>
    <w:rsid w:val="008D4F91"/>
    <w:pPr>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F91"/>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8D4F91"/>
    <w:pPr>
      <w:spacing w:before="100" w:beforeAutospacing="1" w:after="100" w:afterAutospacing="1"/>
    </w:pPr>
    <w:rPr>
      <w:rFonts w:ascii="Times New Roman" w:eastAsia="Times New Roman" w:hAnsi="Times New Roman" w:cs="Times New Roman"/>
      <w:kern w:val="0"/>
    </w:rPr>
  </w:style>
  <w:style w:type="character" w:styleId="Strong">
    <w:name w:val="Strong"/>
    <w:basedOn w:val="DefaultParagraphFont"/>
    <w:uiPriority w:val="22"/>
    <w:qFormat/>
    <w:rsid w:val="008D4F91"/>
    <w:rPr>
      <w:b/>
      <w:bCs/>
    </w:rPr>
  </w:style>
  <w:style w:type="character" w:customStyle="1" w:styleId="muitypography-root">
    <w:name w:val="muitypography-root"/>
    <w:basedOn w:val="DefaultParagraphFont"/>
    <w:rsid w:val="008D4F91"/>
  </w:style>
  <w:style w:type="character" w:customStyle="1" w:styleId="articlereferencestitle8vvot">
    <w:name w:val="articlereferences_title__8vvot"/>
    <w:basedOn w:val="DefaultParagraphFont"/>
    <w:rsid w:val="008D4F91"/>
  </w:style>
  <w:style w:type="character" w:styleId="Hyperlink">
    <w:name w:val="Hyperlink"/>
    <w:basedOn w:val="DefaultParagraphFont"/>
    <w:uiPriority w:val="99"/>
    <w:semiHidden/>
    <w:unhideWhenUsed/>
    <w:rsid w:val="008D4F91"/>
    <w:rPr>
      <w:color w:val="0000FF"/>
      <w:u w:val="single"/>
    </w:rPr>
  </w:style>
  <w:style w:type="character" w:customStyle="1" w:styleId="apple-converted-space">
    <w:name w:val="apple-converted-space"/>
    <w:basedOn w:val="DefaultParagraphFont"/>
    <w:rsid w:val="008D4F91"/>
  </w:style>
  <w:style w:type="character" w:customStyle="1" w:styleId="muibox-root">
    <w:name w:val="muibox-root"/>
    <w:basedOn w:val="DefaultParagraphFont"/>
    <w:rsid w:val="008D4F91"/>
  </w:style>
  <w:style w:type="character" w:styleId="CommentReference">
    <w:name w:val="annotation reference"/>
    <w:basedOn w:val="DefaultParagraphFont"/>
    <w:uiPriority w:val="99"/>
    <w:semiHidden/>
    <w:unhideWhenUsed/>
    <w:rsid w:val="00BD7093"/>
    <w:rPr>
      <w:sz w:val="16"/>
      <w:szCs w:val="16"/>
    </w:rPr>
  </w:style>
  <w:style w:type="paragraph" w:styleId="CommentText">
    <w:name w:val="annotation text"/>
    <w:basedOn w:val="Normal"/>
    <w:link w:val="CommentTextChar"/>
    <w:uiPriority w:val="99"/>
    <w:unhideWhenUsed/>
    <w:rsid w:val="00BD7093"/>
    <w:rPr>
      <w:sz w:val="20"/>
      <w:szCs w:val="20"/>
    </w:rPr>
  </w:style>
  <w:style w:type="character" w:customStyle="1" w:styleId="CommentTextChar">
    <w:name w:val="Comment Text Char"/>
    <w:basedOn w:val="DefaultParagraphFont"/>
    <w:link w:val="CommentText"/>
    <w:uiPriority w:val="99"/>
    <w:rsid w:val="00BD7093"/>
    <w:rPr>
      <w:sz w:val="20"/>
      <w:szCs w:val="20"/>
    </w:rPr>
  </w:style>
  <w:style w:type="paragraph" w:styleId="CommentSubject">
    <w:name w:val="annotation subject"/>
    <w:basedOn w:val="CommentText"/>
    <w:next w:val="CommentText"/>
    <w:link w:val="CommentSubjectChar"/>
    <w:uiPriority w:val="99"/>
    <w:semiHidden/>
    <w:unhideWhenUsed/>
    <w:rsid w:val="00BD7093"/>
    <w:rPr>
      <w:b/>
      <w:bCs/>
    </w:rPr>
  </w:style>
  <w:style w:type="character" w:customStyle="1" w:styleId="CommentSubjectChar">
    <w:name w:val="Comment Subject Char"/>
    <w:basedOn w:val="CommentTextChar"/>
    <w:link w:val="CommentSubject"/>
    <w:uiPriority w:val="99"/>
    <w:semiHidden/>
    <w:rsid w:val="00BD7093"/>
    <w:rPr>
      <w:b/>
      <w:bCs/>
      <w:sz w:val="20"/>
      <w:szCs w:val="20"/>
    </w:rPr>
  </w:style>
  <w:style w:type="paragraph" w:styleId="BalloonText">
    <w:name w:val="Balloon Text"/>
    <w:basedOn w:val="Normal"/>
    <w:link w:val="BalloonTextChar"/>
    <w:uiPriority w:val="99"/>
    <w:semiHidden/>
    <w:unhideWhenUsed/>
    <w:rsid w:val="00BD7093"/>
    <w:rPr>
      <w:rFonts w:ascii="Tahoma" w:hAnsi="Tahoma" w:cs="Tahoma"/>
      <w:sz w:val="16"/>
      <w:szCs w:val="16"/>
    </w:rPr>
  </w:style>
  <w:style w:type="character" w:customStyle="1" w:styleId="BalloonTextChar">
    <w:name w:val="Balloon Text Char"/>
    <w:basedOn w:val="DefaultParagraphFont"/>
    <w:link w:val="BalloonText"/>
    <w:uiPriority w:val="99"/>
    <w:semiHidden/>
    <w:rsid w:val="00BD7093"/>
    <w:rPr>
      <w:rFonts w:ascii="Tahoma" w:hAnsi="Tahoma" w:cs="Tahoma"/>
      <w:sz w:val="16"/>
      <w:szCs w:val="16"/>
    </w:rPr>
  </w:style>
  <w:style w:type="paragraph" w:styleId="BodyTextIndent2">
    <w:name w:val="Body Text Indent 2"/>
    <w:basedOn w:val="Normal"/>
    <w:link w:val="BodyTextIndent2Char"/>
    <w:rsid w:val="00BD7093"/>
    <w:pPr>
      <w:ind w:left="720"/>
    </w:pPr>
    <w:rPr>
      <w:rFonts w:ascii="Times New Roman" w:eastAsia="Times New Roman" w:hAnsi="Times New Roman" w:cs="Times New Roman"/>
      <w:kern w:val="0"/>
    </w:rPr>
  </w:style>
  <w:style w:type="character" w:customStyle="1" w:styleId="BodyTextIndent2Char">
    <w:name w:val="Body Text Indent 2 Char"/>
    <w:basedOn w:val="DefaultParagraphFont"/>
    <w:link w:val="BodyTextIndent2"/>
    <w:rsid w:val="00BD7093"/>
    <w:rPr>
      <w:rFonts w:ascii="Times New Roman" w:eastAsia="Times New Roman" w:hAnsi="Times New Roman" w:cs="Times New Roman"/>
      <w:kern w:val="0"/>
    </w:rPr>
  </w:style>
  <w:style w:type="paragraph" w:styleId="Revision">
    <w:name w:val="Revision"/>
    <w:hidden/>
    <w:uiPriority w:val="99"/>
    <w:semiHidden/>
    <w:rsid w:val="005932B4"/>
  </w:style>
  <w:style w:type="character" w:styleId="Emphasis">
    <w:name w:val="Emphasis"/>
    <w:basedOn w:val="DefaultParagraphFont"/>
    <w:uiPriority w:val="20"/>
    <w:qFormat/>
    <w:rsid w:val="00347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953">
      <w:bodyDiv w:val="1"/>
      <w:marLeft w:val="0"/>
      <w:marRight w:val="0"/>
      <w:marTop w:val="0"/>
      <w:marBottom w:val="0"/>
      <w:divBdr>
        <w:top w:val="none" w:sz="0" w:space="0" w:color="auto"/>
        <w:left w:val="none" w:sz="0" w:space="0" w:color="auto"/>
        <w:bottom w:val="none" w:sz="0" w:space="0" w:color="auto"/>
        <w:right w:val="none" w:sz="0" w:space="0" w:color="auto"/>
      </w:divBdr>
      <w:divsChild>
        <w:div w:id="1792480467">
          <w:marLeft w:val="0"/>
          <w:marRight w:val="0"/>
          <w:marTop w:val="0"/>
          <w:marBottom w:val="0"/>
          <w:divBdr>
            <w:top w:val="none" w:sz="0" w:space="0" w:color="auto"/>
            <w:left w:val="none" w:sz="0" w:space="0" w:color="auto"/>
            <w:bottom w:val="none" w:sz="0" w:space="0" w:color="auto"/>
            <w:right w:val="none" w:sz="0" w:space="0" w:color="auto"/>
          </w:divBdr>
          <w:divsChild>
            <w:div w:id="556207661">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38867699">
      <w:bodyDiv w:val="1"/>
      <w:marLeft w:val="0"/>
      <w:marRight w:val="0"/>
      <w:marTop w:val="0"/>
      <w:marBottom w:val="0"/>
      <w:divBdr>
        <w:top w:val="none" w:sz="0" w:space="0" w:color="auto"/>
        <w:left w:val="none" w:sz="0" w:space="0" w:color="auto"/>
        <w:bottom w:val="none" w:sz="0" w:space="0" w:color="auto"/>
        <w:right w:val="none" w:sz="0" w:space="0" w:color="auto"/>
      </w:divBdr>
      <w:divsChild>
        <w:div w:id="180357841">
          <w:marLeft w:val="0"/>
          <w:marRight w:val="0"/>
          <w:marTop w:val="0"/>
          <w:marBottom w:val="0"/>
          <w:divBdr>
            <w:top w:val="single" w:sz="4" w:space="0" w:color="5B616B"/>
            <w:left w:val="single" w:sz="4" w:space="0" w:color="5B616B"/>
            <w:bottom w:val="single" w:sz="4" w:space="0" w:color="5B616B"/>
            <w:right w:val="single" w:sz="4" w:space="0" w:color="5B616B"/>
          </w:divBdr>
        </w:div>
      </w:divsChild>
    </w:div>
    <w:div w:id="105932637">
      <w:bodyDiv w:val="1"/>
      <w:marLeft w:val="0"/>
      <w:marRight w:val="0"/>
      <w:marTop w:val="0"/>
      <w:marBottom w:val="0"/>
      <w:divBdr>
        <w:top w:val="none" w:sz="0" w:space="0" w:color="auto"/>
        <w:left w:val="none" w:sz="0" w:space="0" w:color="auto"/>
        <w:bottom w:val="none" w:sz="0" w:space="0" w:color="auto"/>
        <w:right w:val="none" w:sz="0" w:space="0" w:color="auto"/>
      </w:divBdr>
    </w:div>
    <w:div w:id="427233318">
      <w:bodyDiv w:val="1"/>
      <w:marLeft w:val="0"/>
      <w:marRight w:val="0"/>
      <w:marTop w:val="0"/>
      <w:marBottom w:val="0"/>
      <w:divBdr>
        <w:top w:val="none" w:sz="0" w:space="0" w:color="auto"/>
        <w:left w:val="none" w:sz="0" w:space="0" w:color="auto"/>
        <w:bottom w:val="none" w:sz="0" w:space="0" w:color="auto"/>
        <w:right w:val="none" w:sz="0" w:space="0" w:color="auto"/>
      </w:divBdr>
      <w:divsChild>
        <w:div w:id="1752653100">
          <w:marLeft w:val="0"/>
          <w:marRight w:val="0"/>
          <w:marTop w:val="0"/>
          <w:marBottom w:val="225"/>
          <w:divBdr>
            <w:top w:val="none" w:sz="0" w:space="0" w:color="auto"/>
            <w:left w:val="none" w:sz="0" w:space="0" w:color="auto"/>
            <w:bottom w:val="none" w:sz="0" w:space="0" w:color="auto"/>
            <w:right w:val="none" w:sz="0" w:space="0" w:color="auto"/>
          </w:divBdr>
          <w:divsChild>
            <w:div w:id="80444597">
              <w:marLeft w:val="0"/>
              <w:marRight w:val="0"/>
              <w:marTop w:val="0"/>
              <w:marBottom w:val="0"/>
              <w:divBdr>
                <w:top w:val="none" w:sz="0" w:space="0" w:color="auto"/>
                <w:left w:val="none" w:sz="0" w:space="0" w:color="auto"/>
                <w:bottom w:val="none" w:sz="0" w:space="0" w:color="auto"/>
                <w:right w:val="none" w:sz="0" w:space="0" w:color="auto"/>
              </w:divBdr>
              <w:divsChild>
                <w:div w:id="1796018037">
                  <w:marLeft w:val="0"/>
                  <w:marRight w:val="0"/>
                  <w:marTop w:val="0"/>
                  <w:marBottom w:val="0"/>
                  <w:divBdr>
                    <w:top w:val="none" w:sz="0" w:space="0" w:color="auto"/>
                    <w:left w:val="none" w:sz="0" w:space="0" w:color="auto"/>
                    <w:bottom w:val="none" w:sz="0" w:space="0" w:color="auto"/>
                    <w:right w:val="none" w:sz="0" w:space="0" w:color="auto"/>
                  </w:divBdr>
                  <w:divsChild>
                    <w:div w:id="696194619">
                      <w:marLeft w:val="0"/>
                      <w:marRight w:val="0"/>
                      <w:marTop w:val="0"/>
                      <w:marBottom w:val="0"/>
                      <w:divBdr>
                        <w:top w:val="none" w:sz="0" w:space="0" w:color="auto"/>
                        <w:left w:val="none" w:sz="0" w:space="0" w:color="auto"/>
                        <w:bottom w:val="none" w:sz="0" w:space="0" w:color="auto"/>
                        <w:right w:val="none" w:sz="0" w:space="0" w:color="auto"/>
                      </w:divBdr>
                      <w:divsChild>
                        <w:div w:id="3326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6322">
          <w:marLeft w:val="0"/>
          <w:marRight w:val="0"/>
          <w:marTop w:val="0"/>
          <w:marBottom w:val="225"/>
          <w:divBdr>
            <w:top w:val="none" w:sz="0" w:space="0" w:color="auto"/>
            <w:left w:val="none" w:sz="0" w:space="0" w:color="auto"/>
            <w:bottom w:val="none" w:sz="0" w:space="0" w:color="auto"/>
            <w:right w:val="none" w:sz="0" w:space="0" w:color="auto"/>
          </w:divBdr>
          <w:divsChild>
            <w:div w:id="754982212">
              <w:marLeft w:val="0"/>
              <w:marRight w:val="0"/>
              <w:marTop w:val="0"/>
              <w:marBottom w:val="0"/>
              <w:divBdr>
                <w:top w:val="none" w:sz="0" w:space="0" w:color="auto"/>
                <w:left w:val="none" w:sz="0" w:space="0" w:color="auto"/>
                <w:bottom w:val="none" w:sz="0" w:space="0" w:color="auto"/>
                <w:right w:val="none" w:sz="0" w:space="0" w:color="auto"/>
              </w:divBdr>
              <w:divsChild>
                <w:div w:id="1976056921">
                  <w:marLeft w:val="0"/>
                  <w:marRight w:val="0"/>
                  <w:marTop w:val="0"/>
                  <w:marBottom w:val="0"/>
                  <w:divBdr>
                    <w:top w:val="none" w:sz="0" w:space="0" w:color="auto"/>
                    <w:left w:val="none" w:sz="0" w:space="0" w:color="auto"/>
                    <w:bottom w:val="none" w:sz="0" w:space="0" w:color="auto"/>
                    <w:right w:val="none" w:sz="0" w:space="0" w:color="auto"/>
                  </w:divBdr>
                  <w:divsChild>
                    <w:div w:id="566114508">
                      <w:marLeft w:val="0"/>
                      <w:marRight w:val="0"/>
                      <w:marTop w:val="0"/>
                      <w:marBottom w:val="0"/>
                      <w:divBdr>
                        <w:top w:val="none" w:sz="0" w:space="0" w:color="auto"/>
                        <w:left w:val="none" w:sz="0" w:space="0" w:color="auto"/>
                        <w:bottom w:val="none" w:sz="0" w:space="0" w:color="auto"/>
                        <w:right w:val="none" w:sz="0" w:space="0" w:color="auto"/>
                      </w:divBdr>
                      <w:divsChild>
                        <w:div w:id="21142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74292">
          <w:marLeft w:val="0"/>
          <w:marRight w:val="0"/>
          <w:marTop w:val="0"/>
          <w:marBottom w:val="225"/>
          <w:divBdr>
            <w:top w:val="none" w:sz="0" w:space="0" w:color="auto"/>
            <w:left w:val="none" w:sz="0" w:space="0" w:color="auto"/>
            <w:bottom w:val="none" w:sz="0" w:space="0" w:color="auto"/>
            <w:right w:val="none" w:sz="0" w:space="0" w:color="auto"/>
          </w:divBdr>
          <w:divsChild>
            <w:div w:id="503860646">
              <w:marLeft w:val="0"/>
              <w:marRight w:val="0"/>
              <w:marTop w:val="0"/>
              <w:marBottom w:val="0"/>
              <w:divBdr>
                <w:top w:val="none" w:sz="0" w:space="0" w:color="auto"/>
                <w:left w:val="none" w:sz="0" w:space="0" w:color="auto"/>
                <w:bottom w:val="none" w:sz="0" w:space="0" w:color="auto"/>
                <w:right w:val="none" w:sz="0" w:space="0" w:color="auto"/>
              </w:divBdr>
              <w:divsChild>
                <w:div w:id="1498304038">
                  <w:marLeft w:val="0"/>
                  <w:marRight w:val="0"/>
                  <w:marTop w:val="0"/>
                  <w:marBottom w:val="0"/>
                  <w:divBdr>
                    <w:top w:val="none" w:sz="0" w:space="0" w:color="auto"/>
                    <w:left w:val="none" w:sz="0" w:space="0" w:color="auto"/>
                    <w:bottom w:val="none" w:sz="0" w:space="0" w:color="auto"/>
                    <w:right w:val="none" w:sz="0" w:space="0" w:color="auto"/>
                  </w:divBdr>
                  <w:divsChild>
                    <w:div w:id="1820419518">
                      <w:marLeft w:val="0"/>
                      <w:marRight w:val="0"/>
                      <w:marTop w:val="0"/>
                      <w:marBottom w:val="0"/>
                      <w:divBdr>
                        <w:top w:val="none" w:sz="0" w:space="0" w:color="auto"/>
                        <w:left w:val="none" w:sz="0" w:space="0" w:color="auto"/>
                        <w:bottom w:val="none" w:sz="0" w:space="0" w:color="auto"/>
                        <w:right w:val="none" w:sz="0" w:space="0" w:color="auto"/>
                      </w:divBdr>
                      <w:divsChild>
                        <w:div w:id="453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200">
          <w:marLeft w:val="0"/>
          <w:marRight w:val="0"/>
          <w:marTop w:val="0"/>
          <w:marBottom w:val="225"/>
          <w:divBdr>
            <w:top w:val="none" w:sz="0" w:space="0" w:color="auto"/>
            <w:left w:val="none" w:sz="0" w:space="0" w:color="auto"/>
            <w:bottom w:val="none" w:sz="0" w:space="0" w:color="auto"/>
            <w:right w:val="none" w:sz="0" w:space="0" w:color="auto"/>
          </w:divBdr>
          <w:divsChild>
            <w:div w:id="1760175811">
              <w:marLeft w:val="0"/>
              <w:marRight w:val="0"/>
              <w:marTop w:val="0"/>
              <w:marBottom w:val="0"/>
              <w:divBdr>
                <w:top w:val="none" w:sz="0" w:space="0" w:color="auto"/>
                <w:left w:val="none" w:sz="0" w:space="0" w:color="auto"/>
                <w:bottom w:val="none" w:sz="0" w:space="0" w:color="auto"/>
                <w:right w:val="none" w:sz="0" w:space="0" w:color="auto"/>
              </w:divBdr>
              <w:divsChild>
                <w:div w:id="367724704">
                  <w:marLeft w:val="0"/>
                  <w:marRight w:val="0"/>
                  <w:marTop w:val="0"/>
                  <w:marBottom w:val="0"/>
                  <w:divBdr>
                    <w:top w:val="none" w:sz="0" w:space="0" w:color="auto"/>
                    <w:left w:val="none" w:sz="0" w:space="0" w:color="auto"/>
                    <w:bottom w:val="none" w:sz="0" w:space="0" w:color="auto"/>
                    <w:right w:val="none" w:sz="0" w:space="0" w:color="auto"/>
                  </w:divBdr>
                  <w:divsChild>
                    <w:div w:id="1129738549">
                      <w:marLeft w:val="0"/>
                      <w:marRight w:val="0"/>
                      <w:marTop w:val="0"/>
                      <w:marBottom w:val="0"/>
                      <w:divBdr>
                        <w:top w:val="none" w:sz="0" w:space="0" w:color="auto"/>
                        <w:left w:val="none" w:sz="0" w:space="0" w:color="auto"/>
                        <w:bottom w:val="none" w:sz="0" w:space="0" w:color="auto"/>
                        <w:right w:val="none" w:sz="0" w:space="0" w:color="auto"/>
                      </w:divBdr>
                      <w:divsChild>
                        <w:div w:id="533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92120">
          <w:marLeft w:val="0"/>
          <w:marRight w:val="0"/>
          <w:marTop w:val="0"/>
          <w:marBottom w:val="225"/>
          <w:divBdr>
            <w:top w:val="none" w:sz="0" w:space="0" w:color="auto"/>
            <w:left w:val="none" w:sz="0" w:space="0" w:color="auto"/>
            <w:bottom w:val="none" w:sz="0" w:space="0" w:color="auto"/>
            <w:right w:val="none" w:sz="0" w:space="0" w:color="auto"/>
          </w:divBdr>
          <w:divsChild>
            <w:div w:id="1779988052">
              <w:marLeft w:val="0"/>
              <w:marRight w:val="0"/>
              <w:marTop w:val="0"/>
              <w:marBottom w:val="0"/>
              <w:divBdr>
                <w:top w:val="none" w:sz="0" w:space="0" w:color="auto"/>
                <w:left w:val="none" w:sz="0" w:space="0" w:color="auto"/>
                <w:bottom w:val="none" w:sz="0" w:space="0" w:color="auto"/>
                <w:right w:val="none" w:sz="0" w:space="0" w:color="auto"/>
              </w:divBdr>
              <w:divsChild>
                <w:div w:id="1687174224">
                  <w:marLeft w:val="0"/>
                  <w:marRight w:val="0"/>
                  <w:marTop w:val="0"/>
                  <w:marBottom w:val="0"/>
                  <w:divBdr>
                    <w:top w:val="none" w:sz="0" w:space="0" w:color="auto"/>
                    <w:left w:val="none" w:sz="0" w:space="0" w:color="auto"/>
                    <w:bottom w:val="none" w:sz="0" w:space="0" w:color="auto"/>
                    <w:right w:val="none" w:sz="0" w:space="0" w:color="auto"/>
                  </w:divBdr>
                  <w:divsChild>
                    <w:div w:id="2111973154">
                      <w:marLeft w:val="0"/>
                      <w:marRight w:val="0"/>
                      <w:marTop w:val="0"/>
                      <w:marBottom w:val="0"/>
                      <w:divBdr>
                        <w:top w:val="none" w:sz="0" w:space="0" w:color="auto"/>
                        <w:left w:val="none" w:sz="0" w:space="0" w:color="auto"/>
                        <w:bottom w:val="none" w:sz="0" w:space="0" w:color="auto"/>
                        <w:right w:val="none" w:sz="0" w:space="0" w:color="auto"/>
                      </w:divBdr>
                      <w:divsChild>
                        <w:div w:id="10214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39728">
          <w:marLeft w:val="0"/>
          <w:marRight w:val="0"/>
          <w:marTop w:val="0"/>
          <w:marBottom w:val="225"/>
          <w:divBdr>
            <w:top w:val="none" w:sz="0" w:space="0" w:color="auto"/>
            <w:left w:val="none" w:sz="0" w:space="0" w:color="auto"/>
            <w:bottom w:val="none" w:sz="0" w:space="0" w:color="auto"/>
            <w:right w:val="none" w:sz="0" w:space="0" w:color="auto"/>
          </w:divBdr>
          <w:divsChild>
            <w:div w:id="1692878939">
              <w:marLeft w:val="0"/>
              <w:marRight w:val="0"/>
              <w:marTop w:val="0"/>
              <w:marBottom w:val="0"/>
              <w:divBdr>
                <w:top w:val="none" w:sz="0" w:space="0" w:color="auto"/>
                <w:left w:val="none" w:sz="0" w:space="0" w:color="auto"/>
                <w:bottom w:val="none" w:sz="0" w:space="0" w:color="auto"/>
                <w:right w:val="none" w:sz="0" w:space="0" w:color="auto"/>
              </w:divBdr>
              <w:divsChild>
                <w:div w:id="236088367">
                  <w:marLeft w:val="0"/>
                  <w:marRight w:val="0"/>
                  <w:marTop w:val="0"/>
                  <w:marBottom w:val="0"/>
                  <w:divBdr>
                    <w:top w:val="none" w:sz="0" w:space="0" w:color="auto"/>
                    <w:left w:val="none" w:sz="0" w:space="0" w:color="auto"/>
                    <w:bottom w:val="none" w:sz="0" w:space="0" w:color="auto"/>
                    <w:right w:val="none" w:sz="0" w:space="0" w:color="auto"/>
                  </w:divBdr>
                  <w:divsChild>
                    <w:div w:id="56558846">
                      <w:marLeft w:val="0"/>
                      <w:marRight w:val="0"/>
                      <w:marTop w:val="0"/>
                      <w:marBottom w:val="0"/>
                      <w:divBdr>
                        <w:top w:val="none" w:sz="0" w:space="0" w:color="auto"/>
                        <w:left w:val="none" w:sz="0" w:space="0" w:color="auto"/>
                        <w:bottom w:val="none" w:sz="0" w:space="0" w:color="auto"/>
                        <w:right w:val="none" w:sz="0" w:space="0" w:color="auto"/>
                      </w:divBdr>
                      <w:divsChild>
                        <w:div w:id="10670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7397">
          <w:marLeft w:val="0"/>
          <w:marRight w:val="0"/>
          <w:marTop w:val="0"/>
          <w:marBottom w:val="225"/>
          <w:divBdr>
            <w:top w:val="none" w:sz="0" w:space="0" w:color="auto"/>
            <w:left w:val="none" w:sz="0" w:space="0" w:color="auto"/>
            <w:bottom w:val="none" w:sz="0" w:space="0" w:color="auto"/>
            <w:right w:val="none" w:sz="0" w:space="0" w:color="auto"/>
          </w:divBdr>
          <w:divsChild>
            <w:div w:id="1678118176">
              <w:marLeft w:val="0"/>
              <w:marRight w:val="0"/>
              <w:marTop w:val="0"/>
              <w:marBottom w:val="0"/>
              <w:divBdr>
                <w:top w:val="none" w:sz="0" w:space="0" w:color="auto"/>
                <w:left w:val="none" w:sz="0" w:space="0" w:color="auto"/>
                <w:bottom w:val="none" w:sz="0" w:space="0" w:color="auto"/>
                <w:right w:val="none" w:sz="0" w:space="0" w:color="auto"/>
              </w:divBdr>
              <w:divsChild>
                <w:div w:id="1095176469">
                  <w:marLeft w:val="0"/>
                  <w:marRight w:val="0"/>
                  <w:marTop w:val="0"/>
                  <w:marBottom w:val="0"/>
                  <w:divBdr>
                    <w:top w:val="none" w:sz="0" w:space="0" w:color="auto"/>
                    <w:left w:val="none" w:sz="0" w:space="0" w:color="auto"/>
                    <w:bottom w:val="none" w:sz="0" w:space="0" w:color="auto"/>
                    <w:right w:val="none" w:sz="0" w:space="0" w:color="auto"/>
                  </w:divBdr>
                  <w:divsChild>
                    <w:div w:id="60568858">
                      <w:marLeft w:val="0"/>
                      <w:marRight w:val="0"/>
                      <w:marTop w:val="0"/>
                      <w:marBottom w:val="0"/>
                      <w:divBdr>
                        <w:top w:val="none" w:sz="0" w:space="0" w:color="auto"/>
                        <w:left w:val="none" w:sz="0" w:space="0" w:color="auto"/>
                        <w:bottom w:val="none" w:sz="0" w:space="0" w:color="auto"/>
                        <w:right w:val="none" w:sz="0" w:space="0" w:color="auto"/>
                      </w:divBdr>
                      <w:divsChild>
                        <w:div w:id="11919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89690">
          <w:marLeft w:val="0"/>
          <w:marRight w:val="0"/>
          <w:marTop w:val="0"/>
          <w:marBottom w:val="225"/>
          <w:divBdr>
            <w:top w:val="none" w:sz="0" w:space="0" w:color="auto"/>
            <w:left w:val="none" w:sz="0" w:space="0" w:color="auto"/>
            <w:bottom w:val="none" w:sz="0" w:space="0" w:color="auto"/>
            <w:right w:val="none" w:sz="0" w:space="0" w:color="auto"/>
          </w:divBdr>
          <w:divsChild>
            <w:div w:id="1904869960">
              <w:marLeft w:val="0"/>
              <w:marRight w:val="0"/>
              <w:marTop w:val="0"/>
              <w:marBottom w:val="0"/>
              <w:divBdr>
                <w:top w:val="none" w:sz="0" w:space="0" w:color="auto"/>
                <w:left w:val="none" w:sz="0" w:space="0" w:color="auto"/>
                <w:bottom w:val="none" w:sz="0" w:space="0" w:color="auto"/>
                <w:right w:val="none" w:sz="0" w:space="0" w:color="auto"/>
              </w:divBdr>
              <w:divsChild>
                <w:div w:id="1727223230">
                  <w:marLeft w:val="0"/>
                  <w:marRight w:val="0"/>
                  <w:marTop w:val="0"/>
                  <w:marBottom w:val="0"/>
                  <w:divBdr>
                    <w:top w:val="none" w:sz="0" w:space="0" w:color="auto"/>
                    <w:left w:val="none" w:sz="0" w:space="0" w:color="auto"/>
                    <w:bottom w:val="none" w:sz="0" w:space="0" w:color="auto"/>
                    <w:right w:val="none" w:sz="0" w:space="0" w:color="auto"/>
                  </w:divBdr>
                  <w:divsChild>
                    <w:div w:id="1052771468">
                      <w:marLeft w:val="0"/>
                      <w:marRight w:val="0"/>
                      <w:marTop w:val="0"/>
                      <w:marBottom w:val="0"/>
                      <w:divBdr>
                        <w:top w:val="none" w:sz="0" w:space="0" w:color="auto"/>
                        <w:left w:val="none" w:sz="0" w:space="0" w:color="auto"/>
                        <w:bottom w:val="none" w:sz="0" w:space="0" w:color="auto"/>
                        <w:right w:val="none" w:sz="0" w:space="0" w:color="auto"/>
                      </w:divBdr>
                      <w:divsChild>
                        <w:div w:id="3169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37343">
          <w:marLeft w:val="0"/>
          <w:marRight w:val="0"/>
          <w:marTop w:val="0"/>
          <w:marBottom w:val="225"/>
          <w:divBdr>
            <w:top w:val="none" w:sz="0" w:space="0" w:color="auto"/>
            <w:left w:val="none" w:sz="0" w:space="0" w:color="auto"/>
            <w:bottom w:val="none" w:sz="0" w:space="0" w:color="auto"/>
            <w:right w:val="none" w:sz="0" w:space="0" w:color="auto"/>
          </w:divBdr>
          <w:divsChild>
            <w:div w:id="382753447">
              <w:marLeft w:val="0"/>
              <w:marRight w:val="0"/>
              <w:marTop w:val="0"/>
              <w:marBottom w:val="0"/>
              <w:divBdr>
                <w:top w:val="none" w:sz="0" w:space="0" w:color="auto"/>
                <w:left w:val="none" w:sz="0" w:space="0" w:color="auto"/>
                <w:bottom w:val="none" w:sz="0" w:space="0" w:color="auto"/>
                <w:right w:val="none" w:sz="0" w:space="0" w:color="auto"/>
              </w:divBdr>
              <w:divsChild>
                <w:div w:id="840049016">
                  <w:marLeft w:val="0"/>
                  <w:marRight w:val="0"/>
                  <w:marTop w:val="0"/>
                  <w:marBottom w:val="0"/>
                  <w:divBdr>
                    <w:top w:val="none" w:sz="0" w:space="0" w:color="auto"/>
                    <w:left w:val="none" w:sz="0" w:space="0" w:color="auto"/>
                    <w:bottom w:val="none" w:sz="0" w:space="0" w:color="auto"/>
                    <w:right w:val="none" w:sz="0" w:space="0" w:color="auto"/>
                  </w:divBdr>
                  <w:divsChild>
                    <w:div w:id="326910695">
                      <w:marLeft w:val="0"/>
                      <w:marRight w:val="0"/>
                      <w:marTop w:val="0"/>
                      <w:marBottom w:val="0"/>
                      <w:divBdr>
                        <w:top w:val="none" w:sz="0" w:space="0" w:color="auto"/>
                        <w:left w:val="none" w:sz="0" w:space="0" w:color="auto"/>
                        <w:bottom w:val="none" w:sz="0" w:space="0" w:color="auto"/>
                        <w:right w:val="none" w:sz="0" w:space="0" w:color="auto"/>
                      </w:divBdr>
                      <w:divsChild>
                        <w:div w:id="754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49217">
          <w:marLeft w:val="0"/>
          <w:marRight w:val="0"/>
          <w:marTop w:val="0"/>
          <w:marBottom w:val="225"/>
          <w:divBdr>
            <w:top w:val="none" w:sz="0" w:space="0" w:color="auto"/>
            <w:left w:val="none" w:sz="0" w:space="0" w:color="auto"/>
            <w:bottom w:val="none" w:sz="0" w:space="0" w:color="auto"/>
            <w:right w:val="none" w:sz="0" w:space="0" w:color="auto"/>
          </w:divBdr>
          <w:divsChild>
            <w:div w:id="148138816">
              <w:marLeft w:val="0"/>
              <w:marRight w:val="0"/>
              <w:marTop w:val="0"/>
              <w:marBottom w:val="0"/>
              <w:divBdr>
                <w:top w:val="none" w:sz="0" w:space="0" w:color="auto"/>
                <w:left w:val="none" w:sz="0" w:space="0" w:color="auto"/>
                <w:bottom w:val="none" w:sz="0" w:space="0" w:color="auto"/>
                <w:right w:val="none" w:sz="0" w:space="0" w:color="auto"/>
              </w:divBdr>
              <w:divsChild>
                <w:div w:id="84806353">
                  <w:marLeft w:val="0"/>
                  <w:marRight w:val="0"/>
                  <w:marTop w:val="0"/>
                  <w:marBottom w:val="0"/>
                  <w:divBdr>
                    <w:top w:val="none" w:sz="0" w:space="0" w:color="auto"/>
                    <w:left w:val="none" w:sz="0" w:space="0" w:color="auto"/>
                    <w:bottom w:val="none" w:sz="0" w:space="0" w:color="auto"/>
                    <w:right w:val="none" w:sz="0" w:space="0" w:color="auto"/>
                  </w:divBdr>
                  <w:divsChild>
                    <w:div w:id="1945306880">
                      <w:marLeft w:val="0"/>
                      <w:marRight w:val="0"/>
                      <w:marTop w:val="0"/>
                      <w:marBottom w:val="0"/>
                      <w:divBdr>
                        <w:top w:val="none" w:sz="0" w:space="0" w:color="auto"/>
                        <w:left w:val="none" w:sz="0" w:space="0" w:color="auto"/>
                        <w:bottom w:val="none" w:sz="0" w:space="0" w:color="auto"/>
                        <w:right w:val="none" w:sz="0" w:space="0" w:color="auto"/>
                      </w:divBdr>
                      <w:divsChild>
                        <w:div w:id="11783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19065">
          <w:marLeft w:val="0"/>
          <w:marRight w:val="0"/>
          <w:marTop w:val="0"/>
          <w:marBottom w:val="225"/>
          <w:divBdr>
            <w:top w:val="none" w:sz="0" w:space="0" w:color="auto"/>
            <w:left w:val="none" w:sz="0" w:space="0" w:color="auto"/>
            <w:bottom w:val="none" w:sz="0" w:space="0" w:color="auto"/>
            <w:right w:val="none" w:sz="0" w:space="0" w:color="auto"/>
          </w:divBdr>
          <w:divsChild>
            <w:div w:id="2000234754">
              <w:marLeft w:val="0"/>
              <w:marRight w:val="0"/>
              <w:marTop w:val="0"/>
              <w:marBottom w:val="0"/>
              <w:divBdr>
                <w:top w:val="none" w:sz="0" w:space="0" w:color="auto"/>
                <w:left w:val="none" w:sz="0" w:space="0" w:color="auto"/>
                <w:bottom w:val="none" w:sz="0" w:space="0" w:color="auto"/>
                <w:right w:val="none" w:sz="0" w:space="0" w:color="auto"/>
              </w:divBdr>
              <w:divsChild>
                <w:div w:id="1511140094">
                  <w:marLeft w:val="0"/>
                  <w:marRight w:val="0"/>
                  <w:marTop w:val="0"/>
                  <w:marBottom w:val="0"/>
                  <w:divBdr>
                    <w:top w:val="none" w:sz="0" w:space="0" w:color="auto"/>
                    <w:left w:val="none" w:sz="0" w:space="0" w:color="auto"/>
                    <w:bottom w:val="none" w:sz="0" w:space="0" w:color="auto"/>
                    <w:right w:val="none" w:sz="0" w:space="0" w:color="auto"/>
                  </w:divBdr>
                  <w:divsChild>
                    <w:div w:id="766534115">
                      <w:marLeft w:val="0"/>
                      <w:marRight w:val="0"/>
                      <w:marTop w:val="0"/>
                      <w:marBottom w:val="0"/>
                      <w:divBdr>
                        <w:top w:val="none" w:sz="0" w:space="0" w:color="auto"/>
                        <w:left w:val="none" w:sz="0" w:space="0" w:color="auto"/>
                        <w:bottom w:val="none" w:sz="0" w:space="0" w:color="auto"/>
                        <w:right w:val="none" w:sz="0" w:space="0" w:color="auto"/>
                      </w:divBdr>
                      <w:divsChild>
                        <w:div w:id="9880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1500">
          <w:marLeft w:val="0"/>
          <w:marRight w:val="0"/>
          <w:marTop w:val="0"/>
          <w:marBottom w:val="225"/>
          <w:divBdr>
            <w:top w:val="none" w:sz="0" w:space="0" w:color="auto"/>
            <w:left w:val="none" w:sz="0" w:space="0" w:color="auto"/>
            <w:bottom w:val="none" w:sz="0" w:space="0" w:color="auto"/>
            <w:right w:val="none" w:sz="0" w:space="0" w:color="auto"/>
          </w:divBdr>
          <w:divsChild>
            <w:div w:id="1139422229">
              <w:marLeft w:val="0"/>
              <w:marRight w:val="0"/>
              <w:marTop w:val="0"/>
              <w:marBottom w:val="0"/>
              <w:divBdr>
                <w:top w:val="none" w:sz="0" w:space="0" w:color="auto"/>
                <w:left w:val="none" w:sz="0" w:space="0" w:color="auto"/>
                <w:bottom w:val="none" w:sz="0" w:space="0" w:color="auto"/>
                <w:right w:val="none" w:sz="0" w:space="0" w:color="auto"/>
              </w:divBdr>
              <w:divsChild>
                <w:div w:id="277610998">
                  <w:marLeft w:val="0"/>
                  <w:marRight w:val="0"/>
                  <w:marTop w:val="0"/>
                  <w:marBottom w:val="0"/>
                  <w:divBdr>
                    <w:top w:val="none" w:sz="0" w:space="0" w:color="auto"/>
                    <w:left w:val="none" w:sz="0" w:space="0" w:color="auto"/>
                    <w:bottom w:val="none" w:sz="0" w:space="0" w:color="auto"/>
                    <w:right w:val="none" w:sz="0" w:space="0" w:color="auto"/>
                  </w:divBdr>
                  <w:divsChild>
                    <w:div w:id="64301876">
                      <w:marLeft w:val="0"/>
                      <w:marRight w:val="0"/>
                      <w:marTop w:val="0"/>
                      <w:marBottom w:val="0"/>
                      <w:divBdr>
                        <w:top w:val="none" w:sz="0" w:space="0" w:color="auto"/>
                        <w:left w:val="none" w:sz="0" w:space="0" w:color="auto"/>
                        <w:bottom w:val="none" w:sz="0" w:space="0" w:color="auto"/>
                        <w:right w:val="none" w:sz="0" w:space="0" w:color="auto"/>
                      </w:divBdr>
                      <w:divsChild>
                        <w:div w:id="1210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2272">
          <w:marLeft w:val="0"/>
          <w:marRight w:val="0"/>
          <w:marTop w:val="0"/>
          <w:marBottom w:val="225"/>
          <w:divBdr>
            <w:top w:val="none" w:sz="0" w:space="0" w:color="auto"/>
            <w:left w:val="none" w:sz="0" w:space="0" w:color="auto"/>
            <w:bottom w:val="none" w:sz="0" w:space="0" w:color="auto"/>
            <w:right w:val="none" w:sz="0" w:space="0" w:color="auto"/>
          </w:divBdr>
          <w:divsChild>
            <w:div w:id="370158406">
              <w:marLeft w:val="0"/>
              <w:marRight w:val="0"/>
              <w:marTop w:val="0"/>
              <w:marBottom w:val="0"/>
              <w:divBdr>
                <w:top w:val="none" w:sz="0" w:space="0" w:color="auto"/>
                <w:left w:val="none" w:sz="0" w:space="0" w:color="auto"/>
                <w:bottom w:val="none" w:sz="0" w:space="0" w:color="auto"/>
                <w:right w:val="none" w:sz="0" w:space="0" w:color="auto"/>
              </w:divBdr>
              <w:divsChild>
                <w:div w:id="2022971084">
                  <w:marLeft w:val="0"/>
                  <w:marRight w:val="0"/>
                  <w:marTop w:val="0"/>
                  <w:marBottom w:val="0"/>
                  <w:divBdr>
                    <w:top w:val="none" w:sz="0" w:space="0" w:color="auto"/>
                    <w:left w:val="none" w:sz="0" w:space="0" w:color="auto"/>
                    <w:bottom w:val="none" w:sz="0" w:space="0" w:color="auto"/>
                    <w:right w:val="none" w:sz="0" w:space="0" w:color="auto"/>
                  </w:divBdr>
                  <w:divsChild>
                    <w:div w:id="1476139376">
                      <w:marLeft w:val="0"/>
                      <w:marRight w:val="0"/>
                      <w:marTop w:val="0"/>
                      <w:marBottom w:val="0"/>
                      <w:divBdr>
                        <w:top w:val="none" w:sz="0" w:space="0" w:color="auto"/>
                        <w:left w:val="none" w:sz="0" w:space="0" w:color="auto"/>
                        <w:bottom w:val="none" w:sz="0" w:space="0" w:color="auto"/>
                        <w:right w:val="none" w:sz="0" w:space="0" w:color="auto"/>
                      </w:divBdr>
                      <w:divsChild>
                        <w:div w:id="3284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2247">
          <w:marLeft w:val="0"/>
          <w:marRight w:val="0"/>
          <w:marTop w:val="0"/>
          <w:marBottom w:val="225"/>
          <w:divBdr>
            <w:top w:val="none" w:sz="0" w:space="0" w:color="auto"/>
            <w:left w:val="none" w:sz="0" w:space="0" w:color="auto"/>
            <w:bottom w:val="none" w:sz="0" w:space="0" w:color="auto"/>
            <w:right w:val="none" w:sz="0" w:space="0" w:color="auto"/>
          </w:divBdr>
          <w:divsChild>
            <w:div w:id="384455777">
              <w:marLeft w:val="0"/>
              <w:marRight w:val="0"/>
              <w:marTop w:val="0"/>
              <w:marBottom w:val="0"/>
              <w:divBdr>
                <w:top w:val="none" w:sz="0" w:space="0" w:color="auto"/>
                <w:left w:val="none" w:sz="0" w:space="0" w:color="auto"/>
                <w:bottom w:val="none" w:sz="0" w:space="0" w:color="auto"/>
                <w:right w:val="none" w:sz="0" w:space="0" w:color="auto"/>
              </w:divBdr>
              <w:divsChild>
                <w:div w:id="586965046">
                  <w:marLeft w:val="0"/>
                  <w:marRight w:val="0"/>
                  <w:marTop w:val="0"/>
                  <w:marBottom w:val="0"/>
                  <w:divBdr>
                    <w:top w:val="none" w:sz="0" w:space="0" w:color="auto"/>
                    <w:left w:val="none" w:sz="0" w:space="0" w:color="auto"/>
                    <w:bottom w:val="none" w:sz="0" w:space="0" w:color="auto"/>
                    <w:right w:val="none" w:sz="0" w:space="0" w:color="auto"/>
                  </w:divBdr>
                  <w:divsChild>
                    <w:div w:id="1375740237">
                      <w:marLeft w:val="0"/>
                      <w:marRight w:val="0"/>
                      <w:marTop w:val="0"/>
                      <w:marBottom w:val="0"/>
                      <w:divBdr>
                        <w:top w:val="none" w:sz="0" w:space="0" w:color="auto"/>
                        <w:left w:val="none" w:sz="0" w:space="0" w:color="auto"/>
                        <w:bottom w:val="none" w:sz="0" w:space="0" w:color="auto"/>
                        <w:right w:val="none" w:sz="0" w:space="0" w:color="auto"/>
                      </w:divBdr>
                      <w:divsChild>
                        <w:div w:id="14828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062453">
      <w:bodyDiv w:val="1"/>
      <w:marLeft w:val="0"/>
      <w:marRight w:val="0"/>
      <w:marTop w:val="0"/>
      <w:marBottom w:val="0"/>
      <w:divBdr>
        <w:top w:val="none" w:sz="0" w:space="0" w:color="auto"/>
        <w:left w:val="none" w:sz="0" w:space="0" w:color="auto"/>
        <w:bottom w:val="none" w:sz="0" w:space="0" w:color="auto"/>
        <w:right w:val="none" w:sz="0" w:space="0" w:color="auto"/>
      </w:divBdr>
      <w:divsChild>
        <w:div w:id="1661883119">
          <w:marLeft w:val="0"/>
          <w:marRight w:val="0"/>
          <w:marTop w:val="0"/>
          <w:marBottom w:val="0"/>
          <w:divBdr>
            <w:top w:val="none" w:sz="0" w:space="0" w:color="auto"/>
            <w:left w:val="none" w:sz="0" w:space="0" w:color="auto"/>
            <w:bottom w:val="none" w:sz="0" w:space="0" w:color="auto"/>
            <w:right w:val="none" w:sz="0" w:space="0" w:color="auto"/>
          </w:divBdr>
          <w:divsChild>
            <w:div w:id="5035162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3980302">
      <w:bodyDiv w:val="1"/>
      <w:marLeft w:val="0"/>
      <w:marRight w:val="0"/>
      <w:marTop w:val="0"/>
      <w:marBottom w:val="0"/>
      <w:divBdr>
        <w:top w:val="none" w:sz="0" w:space="0" w:color="auto"/>
        <w:left w:val="none" w:sz="0" w:space="0" w:color="auto"/>
        <w:bottom w:val="none" w:sz="0" w:space="0" w:color="auto"/>
        <w:right w:val="none" w:sz="0" w:space="0" w:color="auto"/>
      </w:divBdr>
      <w:divsChild>
        <w:div w:id="236136689">
          <w:marLeft w:val="0"/>
          <w:marRight w:val="0"/>
          <w:marTop w:val="0"/>
          <w:marBottom w:val="0"/>
          <w:divBdr>
            <w:top w:val="none" w:sz="0" w:space="0" w:color="auto"/>
            <w:left w:val="none" w:sz="0" w:space="0" w:color="auto"/>
            <w:bottom w:val="none" w:sz="0" w:space="0" w:color="auto"/>
            <w:right w:val="none" w:sz="0" w:space="0" w:color="auto"/>
          </w:divBdr>
        </w:div>
      </w:divsChild>
    </w:div>
    <w:div w:id="1050691422">
      <w:bodyDiv w:val="1"/>
      <w:marLeft w:val="0"/>
      <w:marRight w:val="0"/>
      <w:marTop w:val="0"/>
      <w:marBottom w:val="0"/>
      <w:divBdr>
        <w:top w:val="none" w:sz="0" w:space="0" w:color="auto"/>
        <w:left w:val="none" w:sz="0" w:space="0" w:color="auto"/>
        <w:bottom w:val="none" w:sz="0" w:space="0" w:color="auto"/>
        <w:right w:val="none" w:sz="0" w:space="0" w:color="auto"/>
      </w:divBdr>
    </w:div>
    <w:div w:id="17441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23dd8-a1d7-4df8-a936-08cc1b7fe1a6">
      <Terms xmlns="http://schemas.microsoft.com/office/infopath/2007/PartnerControls"/>
    </lcf76f155ced4ddcb4097134ff3c332f>
    <TaxCatchAll xmlns="afa27510-6b3f-4c58-bef0-87ece0131a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2EE7FFFB45514EBBEA69ABFB5EE388" ma:contentTypeVersion="16" ma:contentTypeDescription="Create a new document." ma:contentTypeScope="" ma:versionID="ad1c3d6392fa8db260094539f45097e6">
  <xsd:schema xmlns:xsd="http://www.w3.org/2001/XMLSchema" xmlns:xs="http://www.w3.org/2001/XMLSchema" xmlns:p="http://schemas.microsoft.com/office/2006/metadata/properties" xmlns:ns2="2a6c6776-3dfc-40aa-8c0f-07d0ac85086f" xmlns:ns3="7bc23dd8-a1d7-4df8-a936-08cc1b7fe1a6" xmlns:ns4="afa27510-6b3f-4c58-bef0-87ece0131a68" targetNamespace="http://schemas.microsoft.com/office/2006/metadata/properties" ma:root="true" ma:fieldsID="890055e8c546badc6f01bb021ef902bb" ns2:_="" ns3:_="" ns4:_="">
    <xsd:import namespace="2a6c6776-3dfc-40aa-8c0f-07d0ac85086f"/>
    <xsd:import namespace="7bc23dd8-a1d7-4df8-a936-08cc1b7fe1a6"/>
    <xsd:import namespace="afa27510-6b3f-4c58-bef0-87ece0131a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6776-3dfc-40aa-8c0f-07d0ac850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23dd8-a1d7-4df8-a936-08cc1b7fe1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fa64fd-47da-40d7-aefe-96ae75c5398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27510-6b3f-4c58-bef0-87ece0131a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2542901-4442-4281-93c4-313a0228c452}" ma:internalName="TaxCatchAll" ma:showField="CatchAllData" ma:web="afa27510-6b3f-4c58-bef0-87ece0131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25FEB-A72E-419B-AC0B-9A5C91D0C7E1}">
  <ds:schemaRefs>
    <ds:schemaRef ds:uri="http://schemas.microsoft.com/office/2006/metadata/properties"/>
    <ds:schemaRef ds:uri="http://schemas.microsoft.com/office/infopath/2007/PartnerControls"/>
    <ds:schemaRef ds:uri="7bc23dd8-a1d7-4df8-a936-08cc1b7fe1a6"/>
    <ds:schemaRef ds:uri="afa27510-6b3f-4c58-bef0-87ece0131a68"/>
  </ds:schemaRefs>
</ds:datastoreItem>
</file>

<file path=customXml/itemProps2.xml><?xml version="1.0" encoding="utf-8"?>
<ds:datastoreItem xmlns:ds="http://schemas.openxmlformats.org/officeDocument/2006/customXml" ds:itemID="{F0757060-9BD7-404F-AF8E-9D53ADEEBCA2}">
  <ds:schemaRefs>
    <ds:schemaRef ds:uri="http://schemas.microsoft.com/sharepoint/v3/contenttype/forms"/>
  </ds:schemaRefs>
</ds:datastoreItem>
</file>

<file path=customXml/itemProps3.xml><?xml version="1.0" encoding="utf-8"?>
<ds:datastoreItem xmlns:ds="http://schemas.openxmlformats.org/officeDocument/2006/customXml" ds:itemID="{2E074FB4-D179-471E-B119-C12ECAF5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6776-3dfc-40aa-8c0f-07d0ac85086f"/>
    <ds:schemaRef ds:uri="7bc23dd8-a1d7-4df8-a936-08cc1b7fe1a6"/>
    <ds:schemaRef ds:uri="afa27510-6b3f-4c58-bef0-87ece0131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1963</Words>
  <Characters>12940</Characters>
  <Application>Microsoft Office Word</Application>
  <DocSecurity>0</DocSecurity>
  <Lines>215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Hall</dc:creator>
  <cp:lastModifiedBy>Stacey Barnes</cp:lastModifiedBy>
  <cp:revision>5</cp:revision>
  <dcterms:created xsi:type="dcterms:W3CDTF">2026-05-12T01:52:00Z</dcterms:created>
  <dcterms:modified xsi:type="dcterms:W3CDTF">2026-05-12T01:53:00Z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c3695e-5069-48a6-8b9d-791a4b61946e_Enabled">
    <vt:lpwstr>true</vt:lpwstr>
  </property>
  <property fmtid="{D5CDD505-2E9C-101B-9397-08002B2CF9AE}" pid="3" name="MSIP_Label_a9c3695e-5069-48a6-8b9d-791a4b61946e_SetDate">
    <vt:lpwstr>2026-05-11T13:25:54Z</vt:lpwstr>
  </property>
  <property fmtid="{D5CDD505-2E9C-101B-9397-08002B2CF9AE}" pid="4" name="MSIP_Label_a9c3695e-5069-48a6-8b9d-791a4b61946e_Method">
    <vt:lpwstr>Standard</vt:lpwstr>
  </property>
  <property fmtid="{D5CDD505-2E9C-101B-9397-08002B2CF9AE}" pid="5" name="MSIP_Label_a9c3695e-5069-48a6-8b9d-791a4b61946e_Name">
    <vt:lpwstr>Internal</vt:lpwstr>
  </property>
  <property fmtid="{D5CDD505-2E9C-101B-9397-08002B2CF9AE}" pid="6" name="MSIP_Label_a9c3695e-5069-48a6-8b9d-791a4b61946e_SiteId">
    <vt:lpwstr>972a3ea3-f979-4875-a2b8-cff001ab69e7</vt:lpwstr>
  </property>
  <property fmtid="{D5CDD505-2E9C-101B-9397-08002B2CF9AE}" pid="7" name="MSIP_Label_a9c3695e-5069-48a6-8b9d-791a4b61946e_ActionId">
    <vt:lpwstr>bb785152-b22a-4d1b-9de0-c90b013c7aa3</vt:lpwstr>
  </property>
  <property fmtid="{D5CDD505-2E9C-101B-9397-08002B2CF9AE}" pid="8" name="MSIP_Label_a9c3695e-5069-48a6-8b9d-791a4b61946e_ContentBits">
    <vt:lpwstr>0</vt:lpwstr>
  </property>
  <property fmtid="{D5CDD505-2E9C-101B-9397-08002B2CF9AE}" pid="9" name="MSIP_Label_a9c3695e-5069-48a6-8b9d-791a4b61946e_Tag">
    <vt:lpwstr>10, 3, 0, 1</vt:lpwstr>
  </property>
  <property fmtid="{D5CDD505-2E9C-101B-9397-08002B2CF9AE}" pid="10" name="ContentTypeId">
    <vt:lpwstr>0x010100272EE7FFFB45514EBBEA69ABFB5EE388</vt:lpwstr>
  </property>
  <property fmtid="{D5CDD505-2E9C-101B-9397-08002B2CF9AE}" pid="11" name="MediaServiceImageTags">
    <vt:lpwstr/>
  </property>
</Properties>
</file>