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EF4F" w14:textId="77777777" w:rsidR="000F6937" w:rsidRPr="000F6937" w:rsidRDefault="000F6937" w:rsidP="000F6937">
      <w:pPr>
        <w:widowControl w:val="0"/>
        <w:pBdr>
          <w:top w:val="nil"/>
          <w:left w:val="nil"/>
          <w:bottom w:val="nil"/>
          <w:right w:val="nil"/>
          <w:between w:val="nil"/>
        </w:pBdr>
        <w:spacing w:before="419" w:line="241" w:lineRule="auto"/>
        <w:ind w:left="157" w:right="49"/>
        <w:jc w:val="center"/>
        <w:rPr>
          <w:rFonts w:ascii="Calibri" w:hAnsi="Calibri" w:cs="Calibri"/>
          <w:b/>
          <w:bCs/>
          <w:color w:val="0653A2"/>
          <w:sz w:val="36"/>
          <w:szCs w:val="36"/>
        </w:rPr>
      </w:pPr>
      <w:r w:rsidRPr="000F6937">
        <w:rPr>
          <w:rFonts w:ascii="Calibri" w:eastAsia="Arial" w:hAnsi="Calibri" w:cs="Calibri"/>
          <w:b/>
          <w:bCs/>
          <w:color w:val="0653A2"/>
          <w:sz w:val="36"/>
          <w:szCs w:val="36"/>
        </w:rPr>
        <w:t>Scope of Practice for Urogynecology and Reconstructive P</w:t>
      </w:r>
      <w:r w:rsidRPr="000F6937">
        <w:rPr>
          <w:rFonts w:ascii="Calibri" w:hAnsi="Calibri" w:cs="Calibri"/>
          <w:b/>
          <w:bCs/>
          <w:color w:val="0653A2"/>
          <w:sz w:val="36"/>
          <w:szCs w:val="36"/>
        </w:rPr>
        <w:t>elvic</w:t>
      </w:r>
      <w:r w:rsidRPr="000F6937">
        <w:rPr>
          <w:rFonts w:ascii="Calibri" w:eastAsia="Arial" w:hAnsi="Calibri" w:cs="Calibri"/>
          <w:b/>
          <w:bCs/>
          <w:color w:val="0653A2"/>
          <w:sz w:val="36"/>
          <w:szCs w:val="36"/>
        </w:rPr>
        <w:t xml:space="preserve"> Surgery  </w:t>
      </w:r>
    </w:p>
    <w:p w14:paraId="07FEF775" w14:textId="77777777" w:rsidR="000F6937" w:rsidRDefault="000F6937" w:rsidP="000F6937">
      <w:pPr>
        <w:widowControl w:val="0"/>
        <w:pBdr>
          <w:top w:val="nil"/>
          <w:left w:val="nil"/>
          <w:bottom w:val="nil"/>
          <w:right w:val="nil"/>
          <w:between w:val="nil"/>
        </w:pBdr>
        <w:ind w:left="2" w:right="181"/>
        <w:rPr>
          <w:rFonts w:ascii="Calibri" w:eastAsia="Arial" w:hAnsi="Calibri" w:cs="Calibri"/>
          <w:color w:val="303030"/>
          <w:sz w:val="24"/>
          <w:szCs w:val="24"/>
        </w:rPr>
      </w:pPr>
    </w:p>
    <w:p w14:paraId="0918500A" w14:textId="58567623" w:rsidR="000F6937" w:rsidRDefault="000F6937" w:rsidP="000F6937">
      <w:pPr>
        <w:widowControl w:val="0"/>
        <w:pBdr>
          <w:top w:val="nil"/>
          <w:left w:val="nil"/>
          <w:bottom w:val="nil"/>
          <w:right w:val="nil"/>
          <w:between w:val="nil"/>
        </w:pBdr>
        <w:ind w:left="2" w:right="181"/>
        <w:rPr>
          <w:rFonts w:ascii="Calibri" w:eastAsia="Arial" w:hAnsi="Calibri" w:cs="Calibri"/>
          <w:color w:val="303030"/>
          <w:sz w:val="24"/>
          <w:szCs w:val="24"/>
        </w:rPr>
      </w:pPr>
      <w:r w:rsidRPr="000F6937">
        <w:rPr>
          <w:rFonts w:ascii="Calibri" w:eastAsia="Arial" w:hAnsi="Calibri" w:cs="Calibri"/>
          <w:color w:val="303030"/>
          <w:sz w:val="24"/>
          <w:szCs w:val="24"/>
        </w:rPr>
        <w:t xml:space="preserve">This document defines the Scope of Practice for </w:t>
      </w:r>
      <w:r w:rsidRPr="000F6937">
        <w:rPr>
          <w:rFonts w:ascii="Calibri" w:hAnsi="Calibri" w:cs="Calibri"/>
          <w:color w:val="303030"/>
          <w:sz w:val="24"/>
          <w:szCs w:val="24"/>
        </w:rPr>
        <w:t xml:space="preserve">Urogynecology and Reconstructive Pelvic Surgery </w:t>
      </w:r>
      <w:r w:rsidRPr="000F6937">
        <w:rPr>
          <w:rFonts w:ascii="Calibri" w:eastAsia="Arial" w:hAnsi="Calibri" w:cs="Calibri"/>
          <w:color w:val="303030"/>
          <w:sz w:val="24"/>
          <w:szCs w:val="24"/>
        </w:rPr>
        <w:t>(</w:t>
      </w:r>
      <w:r w:rsidRPr="000F6937">
        <w:rPr>
          <w:rFonts w:ascii="Calibri" w:hAnsi="Calibri" w:cs="Calibri"/>
          <w:color w:val="303030"/>
          <w:sz w:val="24"/>
          <w:szCs w:val="24"/>
        </w:rPr>
        <w:t>URPS</w:t>
      </w:r>
      <w:r w:rsidRPr="000F6937">
        <w:rPr>
          <w:rFonts w:ascii="Calibri" w:eastAsia="Arial" w:hAnsi="Calibri" w:cs="Calibri"/>
          <w:color w:val="303030"/>
          <w:sz w:val="24"/>
          <w:szCs w:val="24"/>
        </w:rPr>
        <w:t xml:space="preserve">). It serves as a Policy Statement for the American </w:t>
      </w:r>
      <w:r w:rsidRPr="000F6937">
        <w:rPr>
          <w:rFonts w:ascii="Calibri" w:eastAsia="Arial" w:hAnsi="Calibri" w:cs="Calibri"/>
          <w:color w:val="303030"/>
          <w:sz w:val="24"/>
          <w:szCs w:val="24"/>
        </w:rPr>
        <w:t>Urogynecology</w:t>
      </w:r>
      <w:r w:rsidRPr="000F6937">
        <w:rPr>
          <w:rFonts w:ascii="Calibri" w:eastAsia="Arial" w:hAnsi="Calibri" w:cs="Calibri"/>
          <w:color w:val="303030"/>
          <w:sz w:val="24"/>
          <w:szCs w:val="24"/>
        </w:rPr>
        <w:t xml:space="preserve"> </w:t>
      </w:r>
      <w:r w:rsidRPr="000F6937">
        <w:rPr>
          <w:rFonts w:ascii="Calibri" w:eastAsia="Arial" w:hAnsi="Calibri" w:cs="Calibri"/>
          <w:color w:val="303030"/>
          <w:sz w:val="24"/>
          <w:szCs w:val="24"/>
        </w:rPr>
        <w:t>Society (</w:t>
      </w:r>
      <w:r w:rsidRPr="000F6937">
        <w:rPr>
          <w:rFonts w:ascii="Calibri" w:eastAsia="Arial" w:hAnsi="Calibri" w:cs="Calibri"/>
          <w:color w:val="303030"/>
          <w:sz w:val="24"/>
          <w:szCs w:val="24"/>
        </w:rPr>
        <w:t xml:space="preserve">AUGS).  </w:t>
      </w:r>
    </w:p>
    <w:p w14:paraId="10D255BB" w14:textId="77777777" w:rsidR="000F6937" w:rsidRPr="000F6937" w:rsidRDefault="000F6937" w:rsidP="000F6937">
      <w:pPr>
        <w:widowControl w:val="0"/>
        <w:pBdr>
          <w:top w:val="nil"/>
          <w:left w:val="nil"/>
          <w:bottom w:val="nil"/>
          <w:right w:val="nil"/>
          <w:between w:val="nil"/>
        </w:pBdr>
        <w:ind w:left="2" w:right="181"/>
        <w:rPr>
          <w:rFonts w:ascii="Calibri" w:hAnsi="Calibri" w:cs="Calibri"/>
          <w:color w:val="303030"/>
          <w:sz w:val="24"/>
          <w:szCs w:val="24"/>
        </w:rPr>
      </w:pPr>
    </w:p>
    <w:p w14:paraId="04C34403" w14:textId="30699623" w:rsidR="000F6937" w:rsidRDefault="000F6937" w:rsidP="000F6937">
      <w:pPr>
        <w:widowControl w:val="0"/>
        <w:pBdr>
          <w:top w:val="nil"/>
          <w:left w:val="nil"/>
          <w:bottom w:val="nil"/>
          <w:right w:val="nil"/>
          <w:between w:val="nil"/>
        </w:pBdr>
        <w:ind w:right="99" w:firstLine="12"/>
        <w:rPr>
          <w:rFonts w:ascii="Calibri" w:eastAsia="Arial" w:hAnsi="Calibri" w:cs="Calibri"/>
          <w:color w:val="000000"/>
          <w:sz w:val="24"/>
          <w:szCs w:val="24"/>
        </w:rPr>
      </w:pPr>
      <w:r w:rsidRPr="000F6937">
        <w:rPr>
          <w:rFonts w:ascii="Calibri" w:hAnsi="Calibri" w:cs="Calibri"/>
          <w:sz w:val="24"/>
          <w:szCs w:val="24"/>
        </w:rPr>
        <w:t>URPS</w:t>
      </w:r>
      <w:r w:rsidRPr="000F6937">
        <w:rPr>
          <w:rFonts w:ascii="Calibri" w:eastAsia="Arial" w:hAnsi="Calibri" w:cs="Calibri"/>
          <w:color w:val="000000"/>
          <w:sz w:val="24"/>
          <w:szCs w:val="24"/>
        </w:rPr>
        <w:t xml:space="preserve"> is a subspecialty of either Obstetrics &amp; Gynecology or Urology that provides comprehensive care for Pelvic Floor Disorders and related conditions. Physicians can be certified by the American Board of Medical Specialties (ABMS) as </w:t>
      </w:r>
      <w:r w:rsidRPr="000F6937">
        <w:rPr>
          <w:rFonts w:ascii="Calibri" w:hAnsi="Calibri" w:cs="Calibri"/>
          <w:sz w:val="24"/>
          <w:szCs w:val="24"/>
        </w:rPr>
        <w:t>URPS</w:t>
      </w:r>
      <w:r w:rsidRPr="000F6937">
        <w:rPr>
          <w:rFonts w:ascii="Calibri" w:eastAsia="Arial" w:hAnsi="Calibri" w:cs="Calibri"/>
          <w:color w:val="000000"/>
          <w:sz w:val="24"/>
          <w:szCs w:val="24"/>
        </w:rPr>
        <w:t xml:space="preserve"> if they complete an Accreditations Council for Graduate Medical Education (ACGME) accredited residency in either Obstetrics &amp; Gynecology or Urology followed by completion of an ACGME-accredited fellowship in </w:t>
      </w:r>
      <w:r w:rsidRPr="000F6937">
        <w:rPr>
          <w:rFonts w:ascii="Calibri" w:hAnsi="Calibri" w:cs="Calibri"/>
          <w:sz w:val="24"/>
          <w:szCs w:val="24"/>
        </w:rPr>
        <w:t>URPS</w:t>
      </w:r>
      <w:r w:rsidRPr="000F6937">
        <w:rPr>
          <w:rFonts w:ascii="Calibri" w:eastAsia="Arial" w:hAnsi="Calibri" w:cs="Calibri"/>
          <w:color w:val="000000"/>
          <w:sz w:val="24"/>
          <w:szCs w:val="24"/>
        </w:rPr>
        <w:t xml:space="preserve">. Once these training requirements have been met, a physician can then become board certified in </w:t>
      </w:r>
      <w:r w:rsidRPr="000F6937">
        <w:rPr>
          <w:rFonts w:ascii="Calibri" w:hAnsi="Calibri" w:cs="Calibri"/>
          <w:sz w:val="24"/>
          <w:szCs w:val="24"/>
        </w:rPr>
        <w:t>URPS</w:t>
      </w:r>
      <w:r w:rsidRPr="000F6937">
        <w:rPr>
          <w:rFonts w:ascii="Calibri" w:eastAsia="Arial" w:hAnsi="Calibri" w:cs="Calibri"/>
          <w:color w:val="000000"/>
          <w:sz w:val="24"/>
          <w:szCs w:val="24"/>
        </w:rPr>
        <w:t xml:space="preserve">, by completing and passing a board examination. </w:t>
      </w:r>
    </w:p>
    <w:p w14:paraId="6E51B3A8" w14:textId="77777777" w:rsidR="000F6937" w:rsidRPr="000F6937" w:rsidRDefault="000F6937" w:rsidP="000F6937">
      <w:pPr>
        <w:widowControl w:val="0"/>
        <w:pBdr>
          <w:top w:val="nil"/>
          <w:left w:val="nil"/>
          <w:bottom w:val="nil"/>
          <w:right w:val="nil"/>
          <w:between w:val="nil"/>
        </w:pBdr>
        <w:ind w:right="99" w:firstLine="12"/>
        <w:rPr>
          <w:rFonts w:ascii="Calibri" w:hAnsi="Calibri" w:cs="Calibri"/>
          <w:color w:val="000000"/>
          <w:sz w:val="24"/>
          <w:szCs w:val="24"/>
        </w:rPr>
      </w:pPr>
    </w:p>
    <w:p w14:paraId="5214D94B" w14:textId="2772C332" w:rsidR="000F6937" w:rsidRPr="000F6937" w:rsidRDefault="000F6937" w:rsidP="000F6937">
      <w:pPr>
        <w:widowControl w:val="0"/>
        <w:pBdr>
          <w:top w:val="nil"/>
          <w:left w:val="nil"/>
          <w:bottom w:val="nil"/>
          <w:right w:val="nil"/>
          <w:between w:val="nil"/>
        </w:pBdr>
        <w:ind w:right="71" w:firstLine="1"/>
        <w:rPr>
          <w:rFonts w:ascii="Calibri" w:hAnsi="Calibri" w:cs="Calibri"/>
          <w:color w:val="000000"/>
          <w:sz w:val="24"/>
          <w:szCs w:val="24"/>
        </w:rPr>
      </w:pPr>
      <w:r w:rsidRPr="000F6937">
        <w:rPr>
          <w:rFonts w:ascii="Calibri" w:eastAsia="Arial" w:hAnsi="Calibri" w:cs="Calibri"/>
          <w:color w:val="221E1F"/>
          <w:sz w:val="24"/>
          <w:szCs w:val="24"/>
        </w:rPr>
        <w:t xml:space="preserve">The </w:t>
      </w:r>
      <w:r w:rsidRPr="000F6937">
        <w:rPr>
          <w:rFonts w:ascii="Calibri" w:hAnsi="Calibri" w:cs="Calibri"/>
          <w:color w:val="221E1F"/>
          <w:sz w:val="24"/>
          <w:szCs w:val="24"/>
        </w:rPr>
        <w:t>URPS</w:t>
      </w:r>
      <w:r w:rsidRPr="000F6937">
        <w:rPr>
          <w:rFonts w:ascii="Calibri" w:eastAsia="Arial" w:hAnsi="Calibri" w:cs="Calibri"/>
          <w:color w:val="221E1F"/>
          <w:sz w:val="24"/>
          <w:szCs w:val="24"/>
        </w:rPr>
        <w:t xml:space="preserve"> subspecialists are trained in the evaluation, diagnosis, management and treatment of female pelvic floor disorders. They are trained in the performance and interpretation of a wide range of laboratory, radiographic and interventional studies to aid in formulating individualized plans that utilize medical, behavioral, non-surgical or surgical treatment options for patients with a variety of genitourinary disorders. They can function independently but frequently work with Pelvic Floor Physical Therapy/Occupational </w:t>
      </w:r>
      <w:r w:rsidRPr="000F6937">
        <w:rPr>
          <w:rFonts w:ascii="Calibri" w:eastAsia="Arial" w:hAnsi="Calibri" w:cs="Calibri"/>
          <w:color w:val="221E1F"/>
          <w:sz w:val="24"/>
          <w:szCs w:val="24"/>
        </w:rPr>
        <w:t>Therapy as</w:t>
      </w:r>
      <w:r w:rsidRPr="000F6937">
        <w:rPr>
          <w:rFonts w:ascii="Calibri" w:eastAsia="Arial" w:hAnsi="Calibri" w:cs="Calibri"/>
          <w:color w:val="221E1F"/>
          <w:sz w:val="24"/>
          <w:szCs w:val="24"/>
        </w:rPr>
        <w:t xml:space="preserve"> well as with Gynecology, Urology, Gastroenterology, and Colorectal Surgery in a </w:t>
      </w:r>
      <w:r w:rsidRPr="000F6937">
        <w:rPr>
          <w:rFonts w:ascii="Calibri" w:eastAsia="Arial" w:hAnsi="Calibri" w:cs="Calibri"/>
          <w:color w:val="221E1F"/>
          <w:sz w:val="24"/>
          <w:szCs w:val="24"/>
        </w:rPr>
        <w:t>multi-disciplinary</w:t>
      </w:r>
      <w:r w:rsidRPr="000F6937">
        <w:rPr>
          <w:rFonts w:ascii="Calibri" w:eastAsia="Arial" w:hAnsi="Calibri" w:cs="Calibri"/>
          <w:color w:val="221E1F"/>
          <w:sz w:val="24"/>
          <w:szCs w:val="24"/>
        </w:rPr>
        <w:t xml:space="preserve"> group both in ambulatory </w:t>
      </w:r>
      <w:proofErr w:type="gramStart"/>
      <w:r w:rsidRPr="000F6937">
        <w:rPr>
          <w:rFonts w:ascii="Calibri" w:eastAsia="Arial" w:hAnsi="Calibri" w:cs="Calibri"/>
          <w:color w:val="221E1F"/>
          <w:sz w:val="24"/>
          <w:szCs w:val="24"/>
        </w:rPr>
        <w:t>or</w:t>
      </w:r>
      <w:proofErr w:type="gramEnd"/>
      <w:r w:rsidRPr="000F6937">
        <w:rPr>
          <w:rFonts w:ascii="Calibri" w:eastAsia="Arial" w:hAnsi="Calibri" w:cs="Calibri"/>
          <w:color w:val="221E1F"/>
          <w:sz w:val="24"/>
          <w:szCs w:val="24"/>
        </w:rPr>
        <w:t xml:space="preserve"> in-patient care settings. As experts in the female genitourinary </w:t>
      </w:r>
      <w:r w:rsidRPr="000F6937">
        <w:rPr>
          <w:rFonts w:ascii="Calibri" w:eastAsia="Arial" w:hAnsi="Calibri" w:cs="Calibri"/>
          <w:color w:val="221E1F"/>
          <w:sz w:val="24"/>
          <w:szCs w:val="24"/>
        </w:rPr>
        <w:t>system,</w:t>
      </w:r>
      <w:r w:rsidRPr="000F6937">
        <w:rPr>
          <w:rFonts w:ascii="Calibri" w:eastAsia="Arial" w:hAnsi="Calibri" w:cs="Calibri"/>
          <w:color w:val="221E1F"/>
          <w:sz w:val="24"/>
          <w:szCs w:val="24"/>
        </w:rPr>
        <w:t xml:space="preserve"> they are also the ideal physician to </w:t>
      </w:r>
      <w:r w:rsidRPr="000F6937">
        <w:rPr>
          <w:rFonts w:ascii="Calibri" w:eastAsia="Arial" w:hAnsi="Calibri" w:cs="Calibri"/>
          <w:color w:val="000000"/>
          <w:sz w:val="24"/>
          <w:szCs w:val="24"/>
        </w:rPr>
        <w:t xml:space="preserve">actively promote women’s pelvic floor health through research and education.  </w:t>
      </w:r>
    </w:p>
    <w:p w14:paraId="46A77495" w14:textId="77777777" w:rsidR="000F6937" w:rsidRDefault="000F6937" w:rsidP="000F6937">
      <w:pPr>
        <w:widowControl w:val="0"/>
        <w:pBdr>
          <w:top w:val="nil"/>
          <w:left w:val="nil"/>
          <w:bottom w:val="nil"/>
          <w:right w:val="nil"/>
          <w:between w:val="nil"/>
        </w:pBdr>
        <w:rPr>
          <w:rFonts w:ascii="Calibri" w:eastAsia="Arial" w:hAnsi="Calibri" w:cs="Calibri"/>
          <w:color w:val="000000"/>
          <w:sz w:val="24"/>
          <w:szCs w:val="24"/>
        </w:rPr>
      </w:pPr>
    </w:p>
    <w:p w14:paraId="04E0E08D" w14:textId="4C17C32D" w:rsidR="000F6937" w:rsidRPr="000F6937" w:rsidRDefault="000F6937" w:rsidP="000F6937">
      <w:pPr>
        <w:widowControl w:val="0"/>
        <w:pBdr>
          <w:top w:val="nil"/>
          <w:left w:val="nil"/>
          <w:bottom w:val="nil"/>
          <w:right w:val="nil"/>
          <w:between w:val="nil"/>
        </w:pBdr>
        <w:rPr>
          <w:rFonts w:ascii="Calibri" w:hAnsi="Calibri" w:cs="Calibri"/>
          <w:color w:val="000000"/>
          <w:sz w:val="24"/>
          <w:szCs w:val="24"/>
        </w:rPr>
      </w:pPr>
      <w:r w:rsidRPr="000F6937">
        <w:rPr>
          <w:rFonts w:ascii="Calibri" w:eastAsia="Arial" w:hAnsi="Calibri" w:cs="Calibri"/>
          <w:color w:val="000000"/>
          <w:sz w:val="24"/>
          <w:szCs w:val="24"/>
        </w:rPr>
        <w:t xml:space="preserve">Areas of expertise include: </w:t>
      </w:r>
    </w:p>
    <w:p w14:paraId="42132D95" w14:textId="77777777" w:rsidR="000F6937" w:rsidRPr="000F6937" w:rsidRDefault="000F6937" w:rsidP="000F6937">
      <w:pPr>
        <w:widowControl w:val="0"/>
        <w:pBdr>
          <w:top w:val="nil"/>
          <w:left w:val="nil"/>
          <w:bottom w:val="nil"/>
          <w:right w:val="nil"/>
          <w:between w:val="nil"/>
        </w:pBdr>
        <w:ind w:left="362"/>
        <w:rPr>
          <w:rFonts w:ascii="Calibri" w:hAnsi="Calibri" w:cs="Calibri"/>
          <w:color w:val="000000"/>
          <w:sz w:val="24"/>
          <w:szCs w:val="24"/>
        </w:rPr>
      </w:pPr>
      <w:r w:rsidRPr="000F6937">
        <w:rPr>
          <w:rFonts w:ascii="Calibri" w:eastAsia="Noto Sans Symbols" w:hAnsi="Calibri" w:cs="Calibri"/>
          <w:color w:val="000000"/>
          <w:sz w:val="24"/>
          <w:szCs w:val="24"/>
        </w:rPr>
        <w:t xml:space="preserve">• </w:t>
      </w:r>
      <w:r w:rsidRPr="000F6937">
        <w:rPr>
          <w:rFonts w:ascii="Calibri" w:eastAsia="Arial" w:hAnsi="Calibri" w:cs="Calibri"/>
          <w:color w:val="000000"/>
          <w:sz w:val="24"/>
          <w:szCs w:val="24"/>
        </w:rPr>
        <w:t xml:space="preserve">Pelvic floor anatomy and physiology </w:t>
      </w:r>
    </w:p>
    <w:p w14:paraId="74C874FB" w14:textId="77777777" w:rsidR="000F6937" w:rsidRPr="000F6937" w:rsidRDefault="000F6937" w:rsidP="000F6937">
      <w:pPr>
        <w:widowControl w:val="0"/>
        <w:pBdr>
          <w:top w:val="nil"/>
          <w:left w:val="nil"/>
          <w:bottom w:val="nil"/>
          <w:right w:val="nil"/>
          <w:between w:val="nil"/>
        </w:pBdr>
        <w:ind w:left="362"/>
        <w:rPr>
          <w:rFonts w:ascii="Calibri" w:hAnsi="Calibri" w:cs="Calibri"/>
          <w:color w:val="000000"/>
          <w:sz w:val="24"/>
          <w:szCs w:val="24"/>
        </w:rPr>
      </w:pPr>
      <w:r w:rsidRPr="000F6937">
        <w:rPr>
          <w:rFonts w:ascii="Calibri" w:eastAsia="Noto Sans Symbols" w:hAnsi="Calibri" w:cs="Calibri"/>
          <w:color w:val="000000"/>
          <w:sz w:val="24"/>
          <w:szCs w:val="24"/>
        </w:rPr>
        <w:t xml:space="preserve">• </w:t>
      </w:r>
      <w:r w:rsidRPr="000F6937">
        <w:rPr>
          <w:rFonts w:ascii="Calibri" w:eastAsia="Arial" w:hAnsi="Calibri" w:cs="Calibri"/>
          <w:color w:val="000000"/>
          <w:sz w:val="24"/>
          <w:szCs w:val="24"/>
        </w:rPr>
        <w:t xml:space="preserve">Pathophysiology of pelvic floor disorders </w:t>
      </w:r>
    </w:p>
    <w:p w14:paraId="493CC8CE"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Urinary Incontinence </w:t>
      </w:r>
    </w:p>
    <w:p w14:paraId="3BF057D6"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Dysfunctional bladder control </w:t>
      </w:r>
    </w:p>
    <w:p w14:paraId="0E666DC9"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Bladder pain disorders </w:t>
      </w:r>
    </w:p>
    <w:p w14:paraId="0A8E5E9C"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Recurrent urinary tract infections </w:t>
      </w:r>
    </w:p>
    <w:p w14:paraId="12D04F0E"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Congenital anomalies of the pelvic floor </w:t>
      </w:r>
    </w:p>
    <w:p w14:paraId="5C759165"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Fecal incontinence and defecatory dysfunction </w:t>
      </w:r>
    </w:p>
    <w:p w14:paraId="2557AA35"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Pelvic organ </w:t>
      </w:r>
      <w:proofErr w:type="gramStart"/>
      <w:r w:rsidRPr="000F6937">
        <w:rPr>
          <w:rFonts w:ascii="Calibri" w:eastAsia="Arial" w:hAnsi="Calibri" w:cs="Calibri"/>
          <w:color w:val="000000"/>
          <w:sz w:val="24"/>
          <w:szCs w:val="24"/>
        </w:rPr>
        <w:t>prolapse</w:t>
      </w:r>
      <w:proofErr w:type="gramEnd"/>
      <w:r w:rsidRPr="000F6937">
        <w:rPr>
          <w:rFonts w:ascii="Calibri" w:eastAsia="Arial" w:hAnsi="Calibri" w:cs="Calibri"/>
          <w:color w:val="000000"/>
          <w:sz w:val="24"/>
          <w:szCs w:val="24"/>
        </w:rPr>
        <w:t xml:space="preserve"> </w:t>
      </w:r>
    </w:p>
    <w:p w14:paraId="2F2976EA"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proofErr w:type="spellStart"/>
      <w:r w:rsidRPr="000F6937">
        <w:rPr>
          <w:rFonts w:ascii="Calibri" w:eastAsia="Arial" w:hAnsi="Calibri" w:cs="Calibri"/>
          <w:color w:val="000000"/>
          <w:sz w:val="24"/>
          <w:szCs w:val="24"/>
        </w:rPr>
        <w:t>Vesico</w:t>
      </w:r>
      <w:proofErr w:type="spellEnd"/>
      <w:r w:rsidRPr="000F6937">
        <w:rPr>
          <w:rFonts w:ascii="Calibri" w:eastAsia="Arial" w:hAnsi="Calibri" w:cs="Calibri"/>
          <w:color w:val="000000"/>
          <w:sz w:val="24"/>
          <w:szCs w:val="24"/>
        </w:rPr>
        <w:t xml:space="preserve">-vaginal and Recto-vaginal fistulae </w:t>
      </w:r>
    </w:p>
    <w:p w14:paraId="64C3C9AB"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Complications of pelvic floor surgeries </w:t>
      </w:r>
    </w:p>
    <w:p w14:paraId="461C9D15"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Urethral diverticula </w:t>
      </w:r>
    </w:p>
    <w:p w14:paraId="52C3010D"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Mesh complications </w:t>
      </w:r>
    </w:p>
    <w:p w14:paraId="1E0C2212"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Voiding dysfunction </w:t>
      </w:r>
    </w:p>
    <w:p w14:paraId="5283D7EB" w14:textId="77777777" w:rsidR="000F6937" w:rsidRPr="000F6937" w:rsidRDefault="000F6937" w:rsidP="000F6937">
      <w:pPr>
        <w:widowControl w:val="0"/>
        <w:pBdr>
          <w:top w:val="nil"/>
          <w:left w:val="nil"/>
          <w:bottom w:val="nil"/>
          <w:right w:val="nil"/>
          <w:between w:val="nil"/>
        </w:pBdr>
        <w:ind w:left="1084"/>
        <w:rPr>
          <w:rFonts w:ascii="Calibri" w:hAnsi="Calibri" w:cs="Calibri"/>
          <w:color w:val="000000"/>
          <w:sz w:val="24"/>
          <w:szCs w:val="24"/>
        </w:rPr>
      </w:pPr>
      <w:r w:rsidRPr="000F6937">
        <w:rPr>
          <w:rFonts w:ascii="Calibri" w:eastAsia="Courier New" w:hAnsi="Calibri" w:cs="Calibri"/>
          <w:color w:val="000000"/>
          <w:sz w:val="24"/>
          <w:szCs w:val="24"/>
        </w:rPr>
        <w:t xml:space="preserve">o </w:t>
      </w:r>
      <w:r w:rsidRPr="000F6937">
        <w:rPr>
          <w:rFonts w:ascii="Calibri" w:eastAsia="Arial" w:hAnsi="Calibri" w:cs="Calibri"/>
          <w:color w:val="000000"/>
          <w:sz w:val="24"/>
          <w:szCs w:val="24"/>
        </w:rPr>
        <w:t xml:space="preserve">Neurogenic bladder </w:t>
      </w:r>
    </w:p>
    <w:p w14:paraId="54FF11B0" w14:textId="77777777" w:rsidR="000F6937" w:rsidRDefault="000F6937" w:rsidP="000F6937">
      <w:pPr>
        <w:widowControl w:val="0"/>
        <w:pBdr>
          <w:top w:val="nil"/>
          <w:left w:val="nil"/>
          <w:bottom w:val="nil"/>
          <w:right w:val="nil"/>
          <w:between w:val="nil"/>
        </w:pBdr>
        <w:spacing w:line="213" w:lineRule="auto"/>
        <w:ind w:firstLine="8"/>
        <w:rPr>
          <w:rFonts w:ascii="Calibri" w:eastAsia="Arial" w:hAnsi="Calibri" w:cs="Calibri"/>
          <w:color w:val="303030"/>
          <w:sz w:val="24"/>
          <w:szCs w:val="24"/>
        </w:rPr>
      </w:pPr>
    </w:p>
    <w:p w14:paraId="57749863" w14:textId="21304CCD" w:rsidR="00405A83" w:rsidRPr="000F6937" w:rsidRDefault="000F6937" w:rsidP="000F6937">
      <w:pPr>
        <w:widowControl w:val="0"/>
        <w:pBdr>
          <w:top w:val="nil"/>
          <w:left w:val="nil"/>
          <w:bottom w:val="nil"/>
          <w:right w:val="nil"/>
          <w:between w:val="nil"/>
        </w:pBdr>
        <w:spacing w:line="213" w:lineRule="auto"/>
        <w:ind w:firstLine="8"/>
        <w:rPr>
          <w:rFonts w:ascii="Calibri" w:hAnsi="Calibri" w:cs="Calibri"/>
          <w:color w:val="303030"/>
          <w:sz w:val="24"/>
          <w:szCs w:val="24"/>
        </w:rPr>
      </w:pPr>
      <w:r w:rsidRPr="000F6937">
        <w:rPr>
          <w:rFonts w:ascii="Calibri" w:eastAsia="Arial" w:hAnsi="Calibri" w:cs="Calibri"/>
          <w:color w:val="303030"/>
          <w:sz w:val="24"/>
          <w:szCs w:val="24"/>
        </w:rPr>
        <w:t xml:space="preserve">Disclaimer: These recommendations are designed primarily as an educational resource for healthcare providers to </w:t>
      </w:r>
      <w:r>
        <w:rPr>
          <w:rFonts w:ascii="Calibri" w:eastAsia="Arial" w:hAnsi="Calibri" w:cs="Calibri"/>
          <w:color w:val="303030"/>
          <w:sz w:val="24"/>
          <w:szCs w:val="24"/>
        </w:rPr>
        <w:t>h</w:t>
      </w:r>
      <w:r w:rsidRPr="000F6937">
        <w:rPr>
          <w:rFonts w:ascii="Calibri" w:eastAsia="Arial" w:hAnsi="Calibri" w:cs="Calibri"/>
          <w:color w:val="303030"/>
          <w:sz w:val="24"/>
          <w:szCs w:val="24"/>
        </w:rPr>
        <w:t xml:space="preserve">elp them provide quality medical care. These recommendations should not be considered inclusive of all procedures and tests or exclusive of other procedures and tests that are reasonably directed to obtaining the same results.  </w:t>
      </w:r>
    </w:p>
    <w:sectPr w:rsidR="00405A83" w:rsidRPr="000F6937" w:rsidSect="00405A8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9A4D" w14:textId="77777777" w:rsidR="00DC31AA" w:rsidRDefault="00DC31AA">
      <w:r>
        <w:separator/>
      </w:r>
    </w:p>
  </w:endnote>
  <w:endnote w:type="continuationSeparator" w:id="0">
    <w:p w14:paraId="4816E13A" w14:textId="77777777" w:rsidR="00DC31AA" w:rsidRDefault="00DC31AA">
      <w:r>
        <w:continuationSeparator/>
      </w:r>
    </w:p>
  </w:endnote>
  <w:endnote w:type="continuationNotice" w:id="1">
    <w:p w14:paraId="7F762D43" w14:textId="77777777" w:rsidR="00DC31AA" w:rsidRDefault="00DC3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09C6" w14:textId="77777777" w:rsidR="002C7E73" w:rsidRDefault="002C7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EBF0" w14:textId="77777777" w:rsidR="002C7E73" w:rsidRDefault="002C7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3482" w14:textId="77777777" w:rsidR="002C7E73" w:rsidRDefault="002C7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9878" w14:textId="77777777" w:rsidR="00DC31AA" w:rsidRDefault="00DC31AA">
      <w:r>
        <w:separator/>
      </w:r>
    </w:p>
  </w:footnote>
  <w:footnote w:type="continuationSeparator" w:id="0">
    <w:p w14:paraId="56068A2B" w14:textId="77777777" w:rsidR="00DC31AA" w:rsidRDefault="00DC31AA">
      <w:r>
        <w:continuationSeparator/>
      </w:r>
    </w:p>
  </w:footnote>
  <w:footnote w:type="continuationNotice" w:id="1">
    <w:p w14:paraId="25AE3DDD" w14:textId="77777777" w:rsidR="00DC31AA" w:rsidRDefault="00DC3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CDA" w14:textId="77777777" w:rsidR="002C7E73" w:rsidRDefault="002C7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1A41" w14:textId="77777777" w:rsidR="00E153B6" w:rsidRDefault="00E153B6" w:rsidP="0054257D">
    <w:pPr>
      <w:pStyle w:val="Header"/>
      <w:tabs>
        <w:tab w:val="clear" w:pos="4320"/>
        <w:tab w:val="clear" w:pos="8640"/>
        <w:tab w:val="right" w:pos="9360"/>
      </w:tabs>
      <w:ind w:left="-720"/>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49F7" w14:textId="77777777" w:rsidR="00405A83" w:rsidRPr="007672E5" w:rsidRDefault="000F6937" w:rsidP="007672E5">
    <w:pPr>
      <w:pStyle w:val="Header"/>
      <w:tabs>
        <w:tab w:val="clear" w:pos="4320"/>
        <w:tab w:val="clear" w:pos="8640"/>
        <w:tab w:val="right" w:pos="9360"/>
      </w:tabs>
      <w:ind w:left="-720"/>
      <w:jc w:val="right"/>
    </w:pPr>
    <w:r>
      <w:rPr>
        <w:noProof/>
      </w:rPr>
      <w:drawing>
        <wp:anchor distT="0" distB="0" distL="114300" distR="114300" simplePos="0" relativeHeight="251657728" behindDoc="1" locked="0" layoutInCell="1" allowOverlap="1" wp14:anchorId="712F6CE0" wp14:editId="4370BFB7">
          <wp:simplePos x="0" y="0"/>
          <wp:positionH relativeFrom="column">
            <wp:posOffset>-15240</wp:posOffset>
          </wp:positionH>
          <wp:positionV relativeFrom="paragraph">
            <wp:posOffset>-82550</wp:posOffset>
          </wp:positionV>
          <wp:extent cx="2071370" cy="63500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b="33333"/>
                  <a:stretch>
                    <a:fillRect/>
                  </a:stretch>
                </pic:blipFill>
                <pic:spPr bwMode="auto">
                  <a:xfrm>
                    <a:off x="0" y="0"/>
                    <a:ext cx="207137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A53E3" w14:textId="77777777" w:rsidR="00405A83" w:rsidRPr="00D64C9F" w:rsidRDefault="002C7E73" w:rsidP="00405A83">
    <w:pPr>
      <w:pStyle w:val="Header"/>
      <w:tabs>
        <w:tab w:val="clear" w:pos="4320"/>
        <w:tab w:val="clear" w:pos="8640"/>
        <w:tab w:val="right" w:pos="9360"/>
      </w:tabs>
      <w:ind w:left="-720"/>
      <w:jc w:val="right"/>
      <w:rPr>
        <w:rFonts w:ascii="Calibri" w:hAnsi="Calibri" w:cs="Calibri"/>
        <w:sz w:val="24"/>
        <w:szCs w:val="24"/>
      </w:rPr>
    </w:pPr>
    <w:r>
      <w:rPr>
        <w:rFonts w:ascii="Calibri" w:hAnsi="Calibri" w:cs="Calibri"/>
        <w:sz w:val="24"/>
        <w:szCs w:val="24"/>
      </w:rPr>
      <w:t>9466 Georgia Ave, PMB 2064</w:t>
    </w:r>
  </w:p>
  <w:p w14:paraId="3C40E60F" w14:textId="77777777" w:rsidR="007672E5" w:rsidRPr="00D64C9F" w:rsidRDefault="007672E5" w:rsidP="00405A83">
    <w:pPr>
      <w:pStyle w:val="Header"/>
      <w:tabs>
        <w:tab w:val="clear" w:pos="4320"/>
        <w:tab w:val="clear" w:pos="8640"/>
        <w:tab w:val="right" w:pos="9360"/>
      </w:tabs>
      <w:ind w:left="-720"/>
      <w:jc w:val="right"/>
      <w:rPr>
        <w:rFonts w:ascii="Calibri" w:hAnsi="Calibri" w:cs="Calibri"/>
        <w:sz w:val="24"/>
        <w:szCs w:val="24"/>
      </w:rPr>
    </w:pPr>
    <w:r w:rsidRPr="00D64C9F">
      <w:rPr>
        <w:rFonts w:ascii="Calibri" w:hAnsi="Calibri" w:cs="Calibri"/>
        <w:sz w:val="24"/>
        <w:szCs w:val="24"/>
      </w:rPr>
      <w:t>Silver Spring, MD 20910</w:t>
    </w:r>
  </w:p>
  <w:p w14:paraId="20C6A8F0" w14:textId="77777777" w:rsidR="007672E5" w:rsidRPr="00D64C9F" w:rsidRDefault="007672E5" w:rsidP="00405A83">
    <w:pPr>
      <w:pStyle w:val="Header"/>
      <w:tabs>
        <w:tab w:val="clear" w:pos="4320"/>
        <w:tab w:val="clear" w:pos="8640"/>
        <w:tab w:val="right" w:pos="9360"/>
      </w:tabs>
      <w:ind w:left="-720"/>
      <w:jc w:val="right"/>
      <w:rPr>
        <w:rFonts w:ascii="Calibri" w:hAnsi="Calibri" w:cs="Calibri"/>
        <w:sz w:val="24"/>
        <w:szCs w:val="24"/>
      </w:rPr>
    </w:pPr>
    <w:r w:rsidRPr="00D64C9F">
      <w:rPr>
        <w:rFonts w:ascii="Calibri" w:hAnsi="Calibri" w:cs="Calibri"/>
        <w:sz w:val="24"/>
        <w:szCs w:val="24"/>
      </w:rPr>
      <w:t>Phone: 301-273-0670</w:t>
    </w:r>
  </w:p>
  <w:p w14:paraId="004BD0B7" w14:textId="77777777" w:rsidR="007672E5" w:rsidRPr="00D64C9F" w:rsidRDefault="007672E5" w:rsidP="00405A83">
    <w:pPr>
      <w:pStyle w:val="Header"/>
      <w:tabs>
        <w:tab w:val="clear" w:pos="4320"/>
        <w:tab w:val="clear" w:pos="8640"/>
        <w:tab w:val="right" w:pos="9360"/>
      </w:tabs>
      <w:ind w:left="-720"/>
      <w:jc w:val="right"/>
      <w:rPr>
        <w:rFonts w:ascii="Calibri" w:hAnsi="Calibri" w:cs="Calibri"/>
        <w:sz w:val="24"/>
        <w:szCs w:val="24"/>
      </w:rPr>
    </w:pPr>
    <w:hyperlink r:id="rId2" w:history="1">
      <w:r w:rsidRPr="00D64C9F">
        <w:rPr>
          <w:rStyle w:val="Hyperlink"/>
          <w:rFonts w:ascii="Calibri" w:hAnsi="Calibri" w:cs="Calibri"/>
          <w:sz w:val="24"/>
          <w:szCs w:val="24"/>
        </w:rPr>
        <w:t>info@augs.org</w:t>
      </w:r>
    </w:hyperlink>
    <w:r w:rsidRPr="00D64C9F">
      <w:rPr>
        <w:rFonts w:ascii="Calibri" w:hAnsi="Calibri" w:cs="Calibri"/>
        <w:sz w:val="24"/>
        <w:szCs w:val="24"/>
      </w:rPr>
      <w:t xml:space="preserve"> ∙ </w:t>
    </w:r>
    <w:hyperlink r:id="rId3" w:history="1">
      <w:r w:rsidRPr="00D64C9F">
        <w:rPr>
          <w:rStyle w:val="Hyperlink"/>
          <w:rFonts w:ascii="Calibri" w:hAnsi="Calibri" w:cs="Calibri"/>
          <w:sz w:val="24"/>
          <w:szCs w:val="24"/>
        </w:rPr>
        <w:t>www.augs.org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A2A"/>
    <w:multiLevelType w:val="hybridMultilevel"/>
    <w:tmpl w:val="ED544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92722A"/>
    <w:multiLevelType w:val="hybridMultilevel"/>
    <w:tmpl w:val="AAF2B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6118A"/>
    <w:multiLevelType w:val="hybridMultilevel"/>
    <w:tmpl w:val="FA1A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F445E"/>
    <w:multiLevelType w:val="hybridMultilevel"/>
    <w:tmpl w:val="2DD25AD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2413161"/>
    <w:multiLevelType w:val="hybridMultilevel"/>
    <w:tmpl w:val="363AC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6846B6"/>
    <w:multiLevelType w:val="hybridMultilevel"/>
    <w:tmpl w:val="65281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7D6E6A"/>
    <w:multiLevelType w:val="hybridMultilevel"/>
    <w:tmpl w:val="5674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7721C"/>
    <w:multiLevelType w:val="hybridMultilevel"/>
    <w:tmpl w:val="5716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2662B0"/>
    <w:multiLevelType w:val="hybridMultilevel"/>
    <w:tmpl w:val="73B68436"/>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9" w15:restartNumberingAfterBreak="0">
    <w:nsid w:val="53AC33D0"/>
    <w:multiLevelType w:val="hybridMultilevel"/>
    <w:tmpl w:val="DF926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57650B"/>
    <w:multiLevelType w:val="multilevel"/>
    <w:tmpl w:val="55D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07753"/>
    <w:multiLevelType w:val="hybridMultilevel"/>
    <w:tmpl w:val="167CE25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6D5C222E"/>
    <w:multiLevelType w:val="hybridMultilevel"/>
    <w:tmpl w:val="FC864D2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E3F2C8C"/>
    <w:multiLevelType w:val="hybridMultilevel"/>
    <w:tmpl w:val="4FA6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4154C"/>
    <w:multiLevelType w:val="hybridMultilevel"/>
    <w:tmpl w:val="4D6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F1D01"/>
    <w:multiLevelType w:val="hybridMultilevel"/>
    <w:tmpl w:val="BE0EA53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761F50EA"/>
    <w:multiLevelType w:val="multilevel"/>
    <w:tmpl w:val="AD6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207CB5"/>
    <w:multiLevelType w:val="hybridMultilevel"/>
    <w:tmpl w:val="F874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022049">
    <w:abstractNumId w:val="8"/>
  </w:num>
  <w:num w:numId="2" w16cid:durableId="1349063946">
    <w:abstractNumId w:val="3"/>
  </w:num>
  <w:num w:numId="3" w16cid:durableId="1238055349">
    <w:abstractNumId w:val="12"/>
  </w:num>
  <w:num w:numId="4" w16cid:durableId="614559910">
    <w:abstractNumId w:val="11"/>
  </w:num>
  <w:num w:numId="5" w16cid:durableId="1604806356">
    <w:abstractNumId w:val="2"/>
  </w:num>
  <w:num w:numId="6" w16cid:durableId="753357647">
    <w:abstractNumId w:val="14"/>
  </w:num>
  <w:num w:numId="7" w16cid:durableId="1227452481">
    <w:abstractNumId w:val="17"/>
  </w:num>
  <w:num w:numId="8" w16cid:durableId="1129516267">
    <w:abstractNumId w:val="16"/>
  </w:num>
  <w:num w:numId="9" w16cid:durableId="968247757">
    <w:abstractNumId w:val="15"/>
  </w:num>
  <w:num w:numId="10" w16cid:durableId="1992446063">
    <w:abstractNumId w:val="9"/>
  </w:num>
  <w:num w:numId="11" w16cid:durableId="1738241311">
    <w:abstractNumId w:val="7"/>
  </w:num>
  <w:num w:numId="12" w16cid:durableId="1855414078">
    <w:abstractNumId w:val="5"/>
  </w:num>
  <w:num w:numId="13" w16cid:durableId="451095624">
    <w:abstractNumId w:val="0"/>
  </w:num>
  <w:num w:numId="14" w16cid:durableId="344989634">
    <w:abstractNumId w:val="4"/>
  </w:num>
  <w:num w:numId="15" w16cid:durableId="33307698">
    <w:abstractNumId w:val="1"/>
  </w:num>
  <w:num w:numId="16" w16cid:durableId="427627538">
    <w:abstractNumId w:val="10"/>
  </w:num>
  <w:num w:numId="17" w16cid:durableId="685323786">
    <w:abstractNumId w:val="13"/>
  </w:num>
  <w:num w:numId="18" w16cid:durableId="1771316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7D"/>
    <w:rsid w:val="0001027C"/>
    <w:rsid w:val="00033FD6"/>
    <w:rsid w:val="00080EC2"/>
    <w:rsid w:val="000B060F"/>
    <w:rsid w:val="000D053C"/>
    <w:rsid w:val="000F66BB"/>
    <w:rsid w:val="000F6937"/>
    <w:rsid w:val="00131704"/>
    <w:rsid w:val="00150E84"/>
    <w:rsid w:val="00160386"/>
    <w:rsid w:val="0024276B"/>
    <w:rsid w:val="00253AC0"/>
    <w:rsid w:val="00260669"/>
    <w:rsid w:val="00266159"/>
    <w:rsid w:val="00287C92"/>
    <w:rsid w:val="002B50F6"/>
    <w:rsid w:val="002C3511"/>
    <w:rsid w:val="002C7E73"/>
    <w:rsid w:val="00304909"/>
    <w:rsid w:val="00367473"/>
    <w:rsid w:val="00383CF1"/>
    <w:rsid w:val="0038689A"/>
    <w:rsid w:val="003949BA"/>
    <w:rsid w:val="003F7496"/>
    <w:rsid w:val="00405A83"/>
    <w:rsid w:val="00413A99"/>
    <w:rsid w:val="004A19BD"/>
    <w:rsid w:val="004B1DAA"/>
    <w:rsid w:val="004B663A"/>
    <w:rsid w:val="004C6412"/>
    <w:rsid w:val="004D0577"/>
    <w:rsid w:val="004F4593"/>
    <w:rsid w:val="00513575"/>
    <w:rsid w:val="0053364B"/>
    <w:rsid w:val="00534862"/>
    <w:rsid w:val="00540C6A"/>
    <w:rsid w:val="0054257D"/>
    <w:rsid w:val="00583DC8"/>
    <w:rsid w:val="00591010"/>
    <w:rsid w:val="00596700"/>
    <w:rsid w:val="005B63FD"/>
    <w:rsid w:val="005D1F29"/>
    <w:rsid w:val="00617127"/>
    <w:rsid w:val="00625F4A"/>
    <w:rsid w:val="0065386A"/>
    <w:rsid w:val="006E6006"/>
    <w:rsid w:val="006F1350"/>
    <w:rsid w:val="00726F92"/>
    <w:rsid w:val="00731EC5"/>
    <w:rsid w:val="00751D00"/>
    <w:rsid w:val="007672E5"/>
    <w:rsid w:val="00782FA2"/>
    <w:rsid w:val="007A0366"/>
    <w:rsid w:val="007A35D7"/>
    <w:rsid w:val="007B12C6"/>
    <w:rsid w:val="007B21F6"/>
    <w:rsid w:val="007D0F4B"/>
    <w:rsid w:val="007D7B47"/>
    <w:rsid w:val="0082756C"/>
    <w:rsid w:val="0085380E"/>
    <w:rsid w:val="00863669"/>
    <w:rsid w:val="008E0034"/>
    <w:rsid w:val="00905087"/>
    <w:rsid w:val="009539F5"/>
    <w:rsid w:val="009662DC"/>
    <w:rsid w:val="009C1566"/>
    <w:rsid w:val="009E737C"/>
    <w:rsid w:val="00A15539"/>
    <w:rsid w:val="00A30603"/>
    <w:rsid w:val="00A30DB3"/>
    <w:rsid w:val="00A44814"/>
    <w:rsid w:val="00A75981"/>
    <w:rsid w:val="00AF5CC7"/>
    <w:rsid w:val="00B03055"/>
    <w:rsid w:val="00B10160"/>
    <w:rsid w:val="00B131E2"/>
    <w:rsid w:val="00B15DE3"/>
    <w:rsid w:val="00B25FDD"/>
    <w:rsid w:val="00B47067"/>
    <w:rsid w:val="00BB7EA3"/>
    <w:rsid w:val="00C37499"/>
    <w:rsid w:val="00C917F7"/>
    <w:rsid w:val="00C95337"/>
    <w:rsid w:val="00CA4625"/>
    <w:rsid w:val="00CB01E9"/>
    <w:rsid w:val="00CE14B6"/>
    <w:rsid w:val="00D021BB"/>
    <w:rsid w:val="00D05541"/>
    <w:rsid w:val="00D1759D"/>
    <w:rsid w:val="00D64C9F"/>
    <w:rsid w:val="00D65150"/>
    <w:rsid w:val="00D704EC"/>
    <w:rsid w:val="00DB5C8C"/>
    <w:rsid w:val="00DC2CFC"/>
    <w:rsid w:val="00DC31AA"/>
    <w:rsid w:val="00E153B6"/>
    <w:rsid w:val="00E2180B"/>
    <w:rsid w:val="00E30C93"/>
    <w:rsid w:val="00E46AD1"/>
    <w:rsid w:val="00E67CC1"/>
    <w:rsid w:val="00E70CCE"/>
    <w:rsid w:val="00E969EE"/>
    <w:rsid w:val="00EB6D33"/>
    <w:rsid w:val="00F07227"/>
    <w:rsid w:val="00F3403C"/>
    <w:rsid w:val="00F73480"/>
    <w:rsid w:val="00F76847"/>
    <w:rsid w:val="00FC1100"/>
    <w:rsid w:val="00FC3187"/>
    <w:rsid w:val="00FD4232"/>
    <w:rsid w:val="00FE1CCE"/>
    <w:rsid w:val="00FF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5B44E"/>
  <w15:chartTrackingRefBased/>
  <w15:docId w15:val="{0CC4A1E3-CD78-3E46-83B6-024771DE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57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4257D"/>
    <w:pPr>
      <w:tabs>
        <w:tab w:val="center" w:pos="4320"/>
        <w:tab w:val="right" w:pos="8640"/>
      </w:tabs>
    </w:pPr>
  </w:style>
  <w:style w:type="paragraph" w:styleId="Footer">
    <w:name w:val="footer"/>
    <w:basedOn w:val="Normal"/>
    <w:rsid w:val="0054257D"/>
    <w:pPr>
      <w:tabs>
        <w:tab w:val="center" w:pos="4320"/>
        <w:tab w:val="right" w:pos="8640"/>
      </w:tabs>
    </w:pPr>
  </w:style>
  <w:style w:type="character" w:styleId="Hyperlink">
    <w:name w:val="Hyperlink"/>
    <w:uiPriority w:val="99"/>
    <w:rsid w:val="0054257D"/>
    <w:rPr>
      <w:color w:val="0000FF"/>
      <w:u w:val="single"/>
    </w:rPr>
  </w:style>
  <w:style w:type="paragraph" w:styleId="NormalWeb">
    <w:name w:val="Normal (Web)"/>
    <w:basedOn w:val="Normal"/>
    <w:uiPriority w:val="99"/>
    <w:unhideWhenUsed/>
    <w:rsid w:val="00D021BB"/>
    <w:pPr>
      <w:spacing w:before="100" w:beforeAutospacing="1" w:after="100" w:afterAutospacing="1"/>
    </w:pPr>
    <w:rPr>
      <w:sz w:val="24"/>
      <w:szCs w:val="24"/>
    </w:rPr>
  </w:style>
  <w:style w:type="character" w:customStyle="1" w:styleId="apple-converted-space">
    <w:name w:val="apple-converted-space"/>
    <w:rsid w:val="00D021BB"/>
  </w:style>
  <w:style w:type="character" w:styleId="Strong">
    <w:name w:val="Strong"/>
    <w:uiPriority w:val="22"/>
    <w:qFormat/>
    <w:rsid w:val="00D021BB"/>
    <w:rPr>
      <w:b/>
      <w:bCs/>
    </w:rPr>
  </w:style>
  <w:style w:type="paragraph" w:customStyle="1" w:styleId="h2">
    <w:name w:val="h2"/>
    <w:basedOn w:val="Normal"/>
    <w:rsid w:val="00D021BB"/>
    <w:pPr>
      <w:spacing w:before="100" w:beforeAutospacing="1" w:after="100" w:afterAutospacing="1"/>
    </w:pPr>
    <w:rPr>
      <w:sz w:val="24"/>
      <w:szCs w:val="24"/>
    </w:rPr>
  </w:style>
  <w:style w:type="paragraph" w:styleId="ListParagraph">
    <w:name w:val="List Paragraph"/>
    <w:basedOn w:val="Normal"/>
    <w:uiPriority w:val="34"/>
    <w:qFormat/>
    <w:rsid w:val="007D0F4B"/>
    <w:pPr>
      <w:ind w:left="720"/>
    </w:pPr>
    <w:rPr>
      <w:rFonts w:ascii="Calibri" w:eastAsia="Calibri" w:hAnsi="Calibri" w:cs="Calibri"/>
      <w:sz w:val="22"/>
      <w:szCs w:val="22"/>
    </w:rPr>
  </w:style>
  <w:style w:type="character" w:styleId="FollowedHyperlink">
    <w:name w:val="FollowedHyperlink"/>
    <w:rsid w:val="007D0F4B"/>
    <w:rPr>
      <w:color w:val="800080"/>
      <w:u w:val="single"/>
    </w:rPr>
  </w:style>
  <w:style w:type="character" w:styleId="UnresolvedMention">
    <w:name w:val="Unresolved Mention"/>
    <w:uiPriority w:val="99"/>
    <w:semiHidden/>
    <w:unhideWhenUsed/>
    <w:rsid w:val="00033FD6"/>
    <w:rPr>
      <w:color w:val="808080"/>
      <w:shd w:val="clear" w:color="auto" w:fill="E6E6E6"/>
    </w:rPr>
  </w:style>
  <w:style w:type="paragraph" w:styleId="BalloonText">
    <w:name w:val="Balloon Text"/>
    <w:basedOn w:val="Normal"/>
    <w:link w:val="BalloonTextChar"/>
    <w:rsid w:val="00B25FDD"/>
    <w:rPr>
      <w:rFonts w:ascii="Segoe UI" w:hAnsi="Segoe UI" w:cs="Segoe UI"/>
      <w:sz w:val="18"/>
      <w:szCs w:val="18"/>
    </w:rPr>
  </w:style>
  <w:style w:type="character" w:customStyle="1" w:styleId="BalloonTextChar">
    <w:name w:val="Balloon Text Char"/>
    <w:link w:val="BalloonText"/>
    <w:rsid w:val="00B25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101801">
      <w:bodyDiv w:val="1"/>
      <w:marLeft w:val="0"/>
      <w:marRight w:val="0"/>
      <w:marTop w:val="0"/>
      <w:marBottom w:val="0"/>
      <w:divBdr>
        <w:top w:val="none" w:sz="0" w:space="0" w:color="auto"/>
        <w:left w:val="none" w:sz="0" w:space="0" w:color="auto"/>
        <w:bottom w:val="none" w:sz="0" w:space="0" w:color="auto"/>
        <w:right w:val="none" w:sz="0" w:space="0" w:color="auto"/>
      </w:divBdr>
    </w:div>
    <w:div w:id="16217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augs.org" TargetMode="External"/><Relationship Id="rId2" Type="http://schemas.openxmlformats.org/officeDocument/2006/relationships/hyperlink" Target="mailto:info@aug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B285D51A6BD42824E38620D26C79D" ma:contentTypeVersion="19" ma:contentTypeDescription="Create a new document." ma:contentTypeScope="" ma:versionID="3bce5823e1aee88ac48b70facf9f71a1">
  <xsd:schema xmlns:xsd="http://www.w3.org/2001/XMLSchema" xmlns:xs="http://www.w3.org/2001/XMLSchema" xmlns:p="http://schemas.microsoft.com/office/2006/metadata/properties" xmlns:ns2="2a6c6776-3dfc-40aa-8c0f-07d0ac85086f" xmlns:ns3="a12ba25a-039c-4d72-b307-2e4c0014842c" xmlns:ns4="afa27510-6b3f-4c58-bef0-87ece0131a68" targetNamespace="http://schemas.microsoft.com/office/2006/metadata/properties" ma:root="true" ma:fieldsID="133d01deed445e322f64a2f3c30c2bfc" ns2:_="" ns3:_="" ns4:_="">
    <xsd:import namespace="2a6c6776-3dfc-40aa-8c0f-07d0ac85086f"/>
    <xsd:import namespace="a12ba25a-039c-4d72-b307-2e4c0014842c"/>
    <xsd:import namespace="afa27510-6b3f-4c58-bef0-87ece0131a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6776-3dfc-40aa-8c0f-07d0ac8508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2ba25a-039c-4d72-b307-2e4c0014842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fa64fd-47da-40d7-aefe-96ae75c539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27510-6b3f-4c58-bef0-87ece0131a6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2542901-4442-4281-93c4-313a0228c452}" ma:internalName="TaxCatchAll" ma:showField="CatchAllData" ma:web="afa27510-6b3f-4c58-bef0-87ece0131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8D539-B48A-CB4C-9462-6D26510EDA76}">
  <ds:schemaRefs>
    <ds:schemaRef ds:uri="http://schemas.microsoft.com/sharepoint/v3/contenttype/forms"/>
  </ds:schemaRefs>
</ds:datastoreItem>
</file>

<file path=customXml/itemProps2.xml><?xml version="1.0" encoding="utf-8"?>
<ds:datastoreItem xmlns:ds="http://schemas.openxmlformats.org/officeDocument/2006/customXml" ds:itemID="{F08BC6A8-90A1-4AF1-94D0-73E90747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6776-3dfc-40aa-8c0f-07d0ac85086f"/>
    <ds:schemaRef ds:uri="a12ba25a-039c-4d72-b307-2e4c0014842c"/>
    <ds:schemaRef ds:uri="afa27510-6b3f-4c58-bef0-87ece0131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2203</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Fax Transmittal</vt:lpstr>
    </vt:vector>
  </TitlesOfParts>
  <Company>SmithBucklin</Company>
  <LinksUpToDate>false</LinksUpToDate>
  <CharactersWithSpaces>2570</CharactersWithSpaces>
  <SharedDoc>false</SharedDoc>
  <HLinks>
    <vt:vector size="12" baseType="variant">
      <vt:variant>
        <vt:i4>6160478</vt:i4>
      </vt:variant>
      <vt:variant>
        <vt:i4>3</vt:i4>
      </vt:variant>
      <vt:variant>
        <vt:i4>0</vt:i4>
      </vt:variant>
      <vt:variant>
        <vt:i4>5</vt:i4>
      </vt:variant>
      <vt:variant>
        <vt:lpwstr>http://www.augs.org/</vt:lpwstr>
      </vt:variant>
      <vt:variant>
        <vt:lpwstr/>
      </vt:variant>
      <vt:variant>
        <vt:i4>2293777</vt:i4>
      </vt:variant>
      <vt:variant>
        <vt:i4>0</vt:i4>
      </vt:variant>
      <vt:variant>
        <vt:i4>0</vt:i4>
      </vt:variant>
      <vt:variant>
        <vt:i4>5</vt:i4>
      </vt:variant>
      <vt:variant>
        <vt:lpwstr>mailto:info@augs.org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Transmittal</dc:title>
  <dc:subject/>
  <dc:creator>Inst</dc:creator>
  <cp:keywords/>
  <cp:lastModifiedBy>Stephanie Paxson</cp:lastModifiedBy>
  <cp:revision>2</cp:revision>
  <cp:lastPrinted>2009-10-02T18:00:00Z</cp:lastPrinted>
  <dcterms:created xsi:type="dcterms:W3CDTF">2026-05-28T15:18:00Z</dcterms:created>
  <dcterms:modified xsi:type="dcterms:W3CDTF">2026-05-28T15:18:00Z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